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D2462">
      <w:pPr>
        <w:spacing w:line="242" w:lineRule="auto"/>
        <w:rPr>
          <w:rFonts w:ascii="Arial"/>
          <w:sz w:val="21"/>
        </w:rPr>
      </w:pPr>
    </w:p>
    <w:p w14:paraId="174CD400">
      <w:pPr>
        <w:spacing w:line="242" w:lineRule="auto"/>
        <w:rPr>
          <w:rFonts w:ascii="Arial"/>
          <w:sz w:val="21"/>
        </w:rPr>
      </w:pPr>
    </w:p>
    <w:p w14:paraId="0C38188B">
      <w:pPr>
        <w:spacing w:line="242" w:lineRule="auto"/>
        <w:rPr>
          <w:rFonts w:ascii="Arial"/>
          <w:sz w:val="21"/>
        </w:rPr>
      </w:pPr>
    </w:p>
    <w:p w14:paraId="5ADCC6D9">
      <w:pPr>
        <w:spacing w:line="243" w:lineRule="auto"/>
        <w:rPr>
          <w:rFonts w:ascii="Arial"/>
          <w:sz w:val="21"/>
        </w:rPr>
      </w:pPr>
    </w:p>
    <w:p w14:paraId="1BAAD8DD">
      <w:pPr>
        <w:spacing w:line="243" w:lineRule="auto"/>
        <w:rPr>
          <w:rFonts w:ascii="Arial"/>
          <w:sz w:val="21"/>
        </w:rPr>
      </w:pPr>
    </w:p>
    <w:p w14:paraId="05F5F457">
      <w:pPr>
        <w:spacing w:before="294" w:line="205" w:lineRule="auto"/>
        <w:ind w:left="894"/>
        <w:jc w:val="center"/>
        <w:outlineLvl w:val="0"/>
        <w:rPr>
          <w:rFonts w:ascii="方正小标宋_GBK" w:hAnsi="方正小标宋_GBK" w:eastAsia="方正小标宋_GBK" w:cs="方正小标宋_GBK"/>
          <w:sz w:val="76"/>
          <w:szCs w:val="76"/>
        </w:rPr>
      </w:pPr>
      <w:r>
        <w:rPr>
          <w:rFonts w:ascii="方正小标宋_GBK" w:hAnsi="方正小标宋_GBK" w:eastAsia="方正小标宋_GBK" w:cs="方正小标宋_GBK"/>
          <w:color w:val="EE1D23"/>
          <w:spacing w:val="-12"/>
          <w:w w:val="87"/>
          <w:sz w:val="76"/>
          <w:szCs w:val="76"/>
        </w:rPr>
        <w:t>教</w:t>
      </w:r>
      <w:r>
        <w:rPr>
          <w:rFonts w:ascii="方正小标宋_GBK" w:hAnsi="方正小标宋_GBK" w:eastAsia="方正小标宋_GBK" w:cs="方正小标宋_GBK"/>
          <w:color w:val="EE1D23"/>
          <w:spacing w:val="12"/>
          <w:sz w:val="76"/>
          <w:szCs w:val="76"/>
        </w:rPr>
        <w:t xml:space="preserve">   </w:t>
      </w:r>
      <w:r>
        <w:rPr>
          <w:rFonts w:ascii="方正小标宋_GBK" w:hAnsi="方正小标宋_GBK" w:eastAsia="方正小标宋_GBK" w:cs="方正小标宋_GBK"/>
          <w:color w:val="EE1D23"/>
          <w:spacing w:val="-12"/>
          <w:w w:val="87"/>
          <w:sz w:val="76"/>
          <w:szCs w:val="76"/>
        </w:rPr>
        <w:t>育</w:t>
      </w:r>
      <w:r>
        <w:rPr>
          <w:rFonts w:ascii="方正小标宋_GBK" w:hAnsi="方正小标宋_GBK" w:eastAsia="方正小标宋_GBK" w:cs="方正小标宋_GBK"/>
          <w:color w:val="EE1D23"/>
          <w:spacing w:val="4"/>
          <w:sz w:val="76"/>
          <w:szCs w:val="76"/>
        </w:rPr>
        <w:t xml:space="preserve">   </w:t>
      </w:r>
      <w:r>
        <w:rPr>
          <w:rFonts w:ascii="方正小标宋_GBK" w:hAnsi="方正小标宋_GBK" w:eastAsia="方正小标宋_GBK" w:cs="方正小标宋_GBK"/>
          <w:color w:val="EE1D23"/>
          <w:spacing w:val="-12"/>
          <w:w w:val="87"/>
          <w:sz w:val="76"/>
          <w:szCs w:val="76"/>
        </w:rPr>
        <w:t>部</w:t>
      </w:r>
      <w:r>
        <w:rPr>
          <w:rFonts w:ascii="方正小标宋_GBK" w:hAnsi="方正小标宋_GBK" w:eastAsia="方正小标宋_GBK" w:cs="方正小标宋_GBK"/>
          <w:color w:val="EE1D23"/>
          <w:spacing w:val="3"/>
          <w:sz w:val="76"/>
          <w:szCs w:val="76"/>
        </w:rPr>
        <w:t xml:space="preserve">   </w:t>
      </w:r>
      <w:r>
        <w:rPr>
          <w:rFonts w:ascii="方正小标宋_GBK" w:hAnsi="方正小标宋_GBK" w:eastAsia="方正小标宋_GBK" w:cs="方正小标宋_GBK"/>
          <w:color w:val="EE1D23"/>
          <w:spacing w:val="-12"/>
          <w:w w:val="87"/>
          <w:sz w:val="76"/>
          <w:szCs w:val="76"/>
        </w:rPr>
        <w:t>文</w:t>
      </w:r>
      <w:r>
        <w:rPr>
          <w:rFonts w:ascii="方正小标宋_GBK" w:hAnsi="方正小标宋_GBK" w:eastAsia="方正小标宋_GBK" w:cs="方正小标宋_GBK"/>
          <w:color w:val="EE1D23"/>
          <w:spacing w:val="3"/>
          <w:sz w:val="76"/>
          <w:szCs w:val="76"/>
        </w:rPr>
        <w:t xml:space="preserve">   </w:t>
      </w:r>
      <w:r>
        <w:rPr>
          <w:rFonts w:ascii="方正小标宋_GBK" w:hAnsi="方正小标宋_GBK" w:eastAsia="方正小标宋_GBK" w:cs="方正小标宋_GBK"/>
          <w:color w:val="EE1D23"/>
          <w:spacing w:val="-12"/>
          <w:w w:val="87"/>
          <w:sz w:val="76"/>
          <w:szCs w:val="76"/>
        </w:rPr>
        <w:t>件</w:t>
      </w:r>
    </w:p>
    <w:p w14:paraId="5D4AEB16">
      <w:pPr>
        <w:spacing w:line="265" w:lineRule="auto"/>
        <w:rPr>
          <w:rFonts w:ascii="Arial"/>
          <w:sz w:val="21"/>
        </w:rPr>
      </w:pPr>
    </w:p>
    <w:p w14:paraId="52CEFC8B">
      <w:pPr>
        <w:spacing w:line="265" w:lineRule="auto"/>
        <w:rPr>
          <w:rFonts w:ascii="Arial"/>
          <w:sz w:val="21"/>
        </w:rPr>
      </w:pPr>
    </w:p>
    <w:p w14:paraId="386A6D13">
      <w:pPr>
        <w:spacing w:line="265" w:lineRule="auto"/>
        <w:rPr>
          <w:rFonts w:ascii="Arial"/>
          <w:sz w:val="21"/>
        </w:rPr>
      </w:pPr>
    </w:p>
    <w:p w14:paraId="43274CF2">
      <w:pPr>
        <w:spacing w:line="266" w:lineRule="auto"/>
        <w:rPr>
          <w:rFonts w:ascii="Arial"/>
          <w:sz w:val="21"/>
        </w:rPr>
      </w:pPr>
    </w:p>
    <w:p w14:paraId="57191A13">
      <w:pPr>
        <w:pStyle w:val="2"/>
        <w:spacing w:before="124" w:line="205" w:lineRule="auto"/>
        <w:ind w:left="3043"/>
      </w:pPr>
      <w:r>
        <w:rPr>
          <w:color w:val="231F20"/>
          <w:spacing w:val="8"/>
        </w:rPr>
        <w:t>教就业〔</w:t>
      </w:r>
      <w:r>
        <w:rPr>
          <w:rFonts w:ascii="Times New Roman" w:hAnsi="Times New Roman" w:eastAsia="Times New Roman" w:cs="Times New Roman"/>
          <w:color w:val="231F20"/>
          <w:spacing w:val="8"/>
        </w:rPr>
        <w:t>2024</w:t>
      </w:r>
      <w:r>
        <w:rPr>
          <w:color w:val="231F20"/>
          <w:spacing w:val="8"/>
        </w:rPr>
        <w:t>〕</w:t>
      </w:r>
      <w:r>
        <w:rPr>
          <w:rFonts w:ascii="Times New Roman" w:hAnsi="Times New Roman" w:eastAsia="Times New Roman" w:cs="Times New Roman"/>
          <w:color w:val="231F20"/>
          <w:spacing w:val="8"/>
        </w:rPr>
        <w:t>5</w:t>
      </w:r>
      <w:r>
        <w:rPr>
          <w:color w:val="231F20"/>
          <w:spacing w:val="8"/>
        </w:rPr>
        <w:t>号</w:t>
      </w:r>
    </w:p>
    <w:p w14:paraId="1E5899D4">
      <w:pPr>
        <w:spacing w:before="61" w:line="44" w:lineRule="exact"/>
      </w:pPr>
      <w:r>
        <w:pict>
          <v:shape id="_x0000_s1026" o:spid="_x0000_s1026" style="height:2.2pt;width:441.8pt;" filled="f" stroked="t" coordsize="8835,44" path="m0,22l8835,22e">
            <v:fill on="f" focussize="0,0"/>
            <v:stroke weight="2.2pt" color="#EE1D23" miterlimit="10" joinstyle="miter"/>
            <v:imagedata o:title=""/>
            <o:lock v:ext="edit"/>
            <w10:wrap type="none"/>
            <w10:anchorlock/>
          </v:shape>
        </w:pict>
      </w:r>
    </w:p>
    <w:p w14:paraId="01A37BC3">
      <w:pPr>
        <w:spacing w:line="254" w:lineRule="auto"/>
        <w:rPr>
          <w:rFonts w:ascii="Arial"/>
          <w:sz w:val="21"/>
        </w:rPr>
      </w:pPr>
    </w:p>
    <w:p w14:paraId="525B8D93">
      <w:pPr>
        <w:spacing w:line="255" w:lineRule="auto"/>
        <w:rPr>
          <w:rFonts w:ascii="Arial"/>
          <w:sz w:val="21"/>
        </w:rPr>
      </w:pPr>
    </w:p>
    <w:p w14:paraId="084D8DE9">
      <w:pPr>
        <w:spacing w:line="255" w:lineRule="auto"/>
        <w:rPr>
          <w:rFonts w:ascii="Arial"/>
          <w:sz w:val="21"/>
        </w:rPr>
      </w:pPr>
    </w:p>
    <w:p w14:paraId="2C2BDD58">
      <w:pPr>
        <w:spacing w:line="255" w:lineRule="auto"/>
        <w:rPr>
          <w:rFonts w:ascii="Arial"/>
          <w:sz w:val="21"/>
        </w:rPr>
      </w:pPr>
    </w:p>
    <w:p w14:paraId="0A4C29F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867" w:firstLineChars="200"/>
        <w:jc w:val="center"/>
        <w:textAlignment w:val="baseline"/>
        <w:rPr>
          <w:rFonts w:hint="eastAsia" w:ascii="仿宋_GB2312" w:hAnsi="仿宋_GB2312" w:eastAsia="仿宋_GB2312" w:cs="仿宋_GB2312"/>
          <w:b/>
          <w:bCs/>
          <w:sz w:val="39"/>
          <w:szCs w:val="39"/>
        </w:rPr>
      </w:pPr>
      <w:r>
        <w:rPr>
          <w:rFonts w:hint="eastAsia" w:ascii="仿宋_GB2312" w:hAnsi="仿宋_GB2312" w:eastAsia="仿宋_GB2312" w:cs="仿宋_GB2312"/>
          <w:b/>
          <w:bCs/>
          <w:color w:val="231F20"/>
          <w:spacing w:val="21"/>
          <w:sz w:val="39"/>
          <w:szCs w:val="39"/>
        </w:rPr>
        <w:t>教育部关于做好2025届全国普通高校毕业生</w:t>
      </w:r>
      <w:r>
        <w:rPr>
          <w:rFonts w:hint="eastAsia" w:ascii="仿宋_GB2312" w:hAnsi="仿宋_GB2312" w:eastAsia="仿宋_GB2312" w:cs="仿宋_GB2312"/>
          <w:b/>
          <w:bCs/>
          <w:color w:val="231F20"/>
          <w:spacing w:val="25"/>
          <w:sz w:val="39"/>
          <w:szCs w:val="39"/>
        </w:rPr>
        <w:t>就业创业工作的通知</w:t>
      </w:r>
    </w:p>
    <w:p w14:paraId="42A105F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28" w:firstLineChars="200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12"/>
        </w:rPr>
        <w:t>各省</w:t>
      </w:r>
      <w:r>
        <w:rPr>
          <w:rFonts w:hint="eastAsia" w:ascii="仿宋_GB2312" w:hAnsi="仿宋_GB2312" w:eastAsia="仿宋_GB2312" w:cs="仿宋_GB2312"/>
          <w:color w:val="231F20"/>
          <w:spacing w:val="12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2"/>
        </w:rPr>
        <w:t>自治区</w:t>
      </w:r>
      <w:r>
        <w:rPr>
          <w:rFonts w:hint="eastAsia" w:ascii="仿宋_GB2312" w:hAnsi="仿宋_GB2312" w:eastAsia="仿宋_GB2312" w:cs="仿宋_GB2312"/>
          <w:color w:val="231F20"/>
          <w:spacing w:val="12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2"/>
        </w:rPr>
        <w:t>直辖市教育厅（教委</w:t>
      </w:r>
      <w:r>
        <w:rPr>
          <w:rFonts w:hint="eastAsia" w:ascii="仿宋_GB2312" w:hAnsi="仿宋_GB2312" w:eastAsia="仿宋_GB2312" w:cs="仿宋_GB2312"/>
          <w:color w:val="231F20"/>
          <w:spacing w:val="-42"/>
        </w:rPr>
        <w:t>）</w:t>
      </w:r>
      <w:r>
        <w:rPr>
          <w:rFonts w:hint="eastAsia" w:ascii="仿宋_GB2312" w:hAnsi="仿宋_GB2312" w:eastAsia="仿宋_GB2312" w:cs="仿宋_GB2312"/>
          <w:color w:val="231F20"/>
          <w:spacing w:val="-42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2"/>
        </w:rPr>
        <w:t>新疆生产建设兵</w:t>
      </w:r>
      <w:r>
        <w:rPr>
          <w:rFonts w:hint="eastAsia" w:ascii="仿宋_GB2312" w:hAnsi="仿宋_GB2312" w:eastAsia="仿宋_GB2312" w:cs="仿宋_GB2312"/>
          <w:color w:val="231F20"/>
          <w:spacing w:val="11"/>
        </w:rPr>
        <w:t>团教育</w:t>
      </w:r>
      <w:r>
        <w:rPr>
          <w:rFonts w:hint="eastAsia" w:ascii="仿宋_GB2312" w:hAnsi="仿宋_GB2312" w:eastAsia="仿宋_GB2312" w:cs="仿宋_GB2312"/>
          <w:color w:val="231F20"/>
          <w:spacing w:val="10"/>
        </w:rPr>
        <w:t>局</w:t>
      </w:r>
      <w:r>
        <w:rPr>
          <w:rFonts w:hint="eastAsia" w:ascii="仿宋_GB2312" w:hAnsi="仿宋_GB2312" w:eastAsia="仿宋_GB2312" w:cs="仿宋_GB2312"/>
          <w:color w:val="231F20"/>
          <w:spacing w:val="10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0"/>
        </w:rPr>
        <w:t>有关省</w:t>
      </w:r>
      <w:r>
        <w:rPr>
          <w:rFonts w:hint="eastAsia" w:ascii="仿宋_GB2312" w:hAnsi="仿宋_GB2312" w:eastAsia="仿宋_GB2312" w:cs="仿宋_GB2312"/>
          <w:color w:val="231F20"/>
          <w:spacing w:val="10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0"/>
        </w:rPr>
        <w:t>自治区人力资源社会保障厅</w:t>
      </w:r>
      <w:r>
        <w:rPr>
          <w:rFonts w:hint="eastAsia" w:ascii="仿宋_GB2312" w:hAnsi="仿宋_GB2312" w:eastAsia="仿宋_GB2312" w:cs="仿宋_GB2312"/>
          <w:color w:val="231F20"/>
          <w:spacing w:val="10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0"/>
        </w:rPr>
        <w:t>部属各高等学校</w:t>
      </w:r>
      <w:r>
        <w:rPr>
          <w:rFonts w:hint="eastAsia" w:ascii="仿宋_GB2312" w:hAnsi="仿宋_GB2312" w:eastAsia="仿宋_GB2312" w:cs="仿宋_GB2312"/>
          <w:color w:val="231F20"/>
          <w:spacing w:val="10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0"/>
        </w:rPr>
        <w:t>部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省合建各高等学校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：</w:t>
      </w:r>
    </w:p>
    <w:p w14:paraId="65FC77D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708" w:firstLineChars="200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32"/>
        </w:rPr>
        <w:t>高校毕业生是党和国家宝贵的人才资源</w:t>
      </w:r>
      <w:r>
        <w:rPr>
          <w:rFonts w:hint="eastAsia" w:ascii="仿宋_GB2312" w:hAnsi="仿宋_GB2312" w:eastAsia="仿宋_GB2312" w:cs="仿宋_GB2312"/>
          <w:color w:val="231F20"/>
          <w:spacing w:val="32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32"/>
        </w:rPr>
        <w:t>为深入学习领会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习近平新时代中国特色社会主义思想</w:t>
      </w:r>
      <w:r>
        <w:rPr>
          <w:rFonts w:hint="eastAsia" w:ascii="仿宋_GB2312" w:hAnsi="仿宋_GB2312" w:eastAsia="仿宋_GB2312" w:cs="仿宋_GB2312"/>
          <w:color w:val="231F20"/>
          <w:spacing w:val="20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全面贯彻党的二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十届三中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全会精神和全国教育大会精神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坚持把高校毕业生就业作为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重中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之重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加快构建高校毕业生高质量就业服务体系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完善高校学科</w:t>
      </w:r>
      <w:r>
        <w:rPr>
          <w:rFonts w:hint="eastAsia" w:ascii="仿宋_GB2312" w:hAnsi="仿宋_GB2312" w:eastAsia="仿宋_GB2312" w:cs="仿宋_GB2312"/>
          <w:color w:val="231F20"/>
          <w:spacing w:val="31"/>
        </w:rPr>
        <w:t>设置调整机制和人才培养模式</w:t>
      </w:r>
      <w:r>
        <w:rPr>
          <w:rFonts w:hint="eastAsia" w:ascii="仿宋_GB2312" w:hAnsi="仿宋_GB2312" w:eastAsia="仿宋_GB2312" w:cs="仿宋_GB2312"/>
          <w:color w:val="231F20"/>
          <w:spacing w:val="31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31"/>
        </w:rPr>
        <w:t>促进高校毕业生高质</w:t>
      </w:r>
      <w:r>
        <w:rPr>
          <w:rFonts w:hint="eastAsia" w:ascii="仿宋_GB2312" w:hAnsi="仿宋_GB2312" w:eastAsia="仿宋_GB2312" w:cs="仿宋_GB2312"/>
          <w:color w:val="231F20"/>
          <w:spacing w:val="30"/>
        </w:rPr>
        <w:t>量充分就</w:t>
      </w:r>
      <w:r>
        <w:rPr>
          <w:rFonts w:hint="eastAsia" w:ascii="仿宋_GB2312" w:hAnsi="仿宋_GB2312" w:eastAsia="仿宋_GB2312" w:cs="仿宋_GB2312"/>
          <w:color w:val="231F20"/>
          <w:spacing w:val="22"/>
        </w:rPr>
        <w:t>业</w:t>
      </w:r>
      <w:r>
        <w:rPr>
          <w:rFonts w:hint="eastAsia" w:ascii="仿宋_GB2312" w:hAnsi="仿宋_GB2312" w:eastAsia="仿宋_GB2312" w:cs="仿宋_GB2312"/>
          <w:color w:val="231F20"/>
          <w:spacing w:val="22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22"/>
        </w:rPr>
        <w:t>教育部决定实施2025届全国普通高校毕业生就业创业促进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和服务体系建设行动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现就有关事项通知如下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。</w:t>
      </w:r>
    </w:p>
    <w:p w14:paraId="0A0E345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6" w:firstLineChars="200"/>
        <w:textAlignment w:val="baseline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19"/>
        </w:rPr>
        <w:t>一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促进人才培养与经济社会发展供需适配</w:t>
      </w:r>
    </w:p>
    <w:p w14:paraId="5A9C70D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0" w:firstLineChars="200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20"/>
        </w:rPr>
        <w:t>1.加强就业市场需求分析研判</w:t>
      </w:r>
      <w:r>
        <w:rPr>
          <w:rFonts w:hint="eastAsia" w:ascii="仿宋_GB2312" w:hAnsi="仿宋_GB2312" w:eastAsia="仿宋_GB2312" w:cs="仿宋_GB2312"/>
          <w:color w:val="231F20"/>
          <w:spacing w:val="20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各地各高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校和分行业就业指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导委员会要定期开展高校毕业生就业市场需求调查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通过调研走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访企业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委托专门机构开展调查等方式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广泛收集行业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区域人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才供求信息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及时掌握就业市场需求变化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鼓励各地积极会同相关行业主管部门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建立就业市场需求分析会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商机制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协同开展人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才需求分析预测工作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编制发布人才需求报告和急需紧缺人才目</w:t>
      </w:r>
      <w:r>
        <w:rPr>
          <w:rFonts w:hint="eastAsia" w:ascii="仿宋_GB2312" w:hAnsi="仿宋_GB2312" w:eastAsia="仿宋_GB2312" w:cs="仿宋_GB2312"/>
          <w:color w:val="231F20"/>
          <w:spacing w:val="10"/>
        </w:rPr>
        <w:t>录</w:t>
      </w:r>
      <w:r>
        <w:rPr>
          <w:rFonts w:hint="eastAsia" w:ascii="仿宋_GB2312" w:hAnsi="仿宋_GB2312" w:eastAsia="仿宋_GB2312" w:cs="仿宋_GB2312"/>
          <w:color w:val="231F20"/>
          <w:spacing w:val="10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0"/>
        </w:rPr>
        <w:t>引导优化人才资源配置</w:t>
      </w:r>
      <w:r>
        <w:rPr>
          <w:rFonts w:hint="eastAsia" w:ascii="仿宋_GB2312" w:hAnsi="仿宋_GB2312" w:eastAsia="仿宋_GB2312" w:cs="仿宋_GB2312"/>
          <w:color w:val="231F20"/>
          <w:spacing w:val="10"/>
          <w:position w:val="1"/>
        </w:rPr>
        <w:t>。</w:t>
      </w:r>
    </w:p>
    <w:p w14:paraId="1520847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4" w:firstLineChars="200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21"/>
        </w:rPr>
        <w:t>2.加强学科专业动态调整优化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各地各高校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要结合本区域发</w:t>
      </w:r>
      <w:r>
        <w:rPr>
          <w:rFonts w:hint="eastAsia" w:ascii="仿宋_GB2312" w:hAnsi="仿宋_GB2312" w:eastAsia="仿宋_GB2312" w:cs="仿宋_GB2312"/>
          <w:color w:val="231F20"/>
          <w:spacing w:val="12"/>
        </w:rPr>
        <w:t>展实际</w:t>
      </w:r>
      <w:r>
        <w:rPr>
          <w:rFonts w:hint="eastAsia" w:ascii="仿宋_GB2312" w:hAnsi="仿宋_GB2312" w:eastAsia="仿宋_GB2312" w:cs="仿宋_GB2312"/>
          <w:color w:val="231F20"/>
          <w:spacing w:val="12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2"/>
        </w:rPr>
        <w:t>以科技发展</w:t>
      </w:r>
      <w:r>
        <w:rPr>
          <w:rFonts w:hint="eastAsia" w:ascii="仿宋_GB2312" w:hAnsi="仿宋_GB2312" w:eastAsia="仿宋_GB2312" w:cs="仿宋_GB2312"/>
          <w:color w:val="231F20"/>
          <w:spacing w:val="12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2"/>
        </w:rPr>
        <w:t>国家战略需求为牵引</w:t>
      </w:r>
      <w:r>
        <w:rPr>
          <w:rFonts w:hint="eastAsia" w:ascii="仿宋_GB2312" w:hAnsi="仿宋_GB2312" w:eastAsia="仿宋_GB2312" w:cs="仿宋_GB2312"/>
          <w:color w:val="231F20"/>
          <w:spacing w:val="12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2"/>
        </w:rPr>
        <w:t>主动布局新兴学科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专业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扩大急需紧缺学科专业布点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提高高校学科专业设置对高质量发展的响应度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更好促进供需适配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对就业质量不高的专业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实行红黄牌提示制度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及时调整或更新升级已经不适应社会需要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的学科专业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。</w:t>
      </w:r>
    </w:p>
    <w:p w14:paraId="262FA11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4" w:firstLineChars="200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16"/>
        </w:rPr>
        <w:t>3.加强就业与招生</w:t>
      </w:r>
      <w:r>
        <w:rPr>
          <w:rFonts w:hint="eastAsia" w:ascii="仿宋_GB2312" w:hAnsi="仿宋_GB2312" w:eastAsia="仿宋_GB2312" w:cs="仿宋_GB2312"/>
          <w:color w:val="231F20"/>
          <w:spacing w:val="16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6"/>
        </w:rPr>
        <w:t>培养联动</w:t>
      </w:r>
      <w:r>
        <w:rPr>
          <w:rFonts w:hint="eastAsia" w:ascii="仿宋_GB2312" w:hAnsi="仿宋_GB2312" w:eastAsia="仿宋_GB2312" w:cs="仿宋_GB2312"/>
          <w:color w:val="231F20"/>
          <w:spacing w:val="16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6"/>
        </w:rPr>
        <w:t>各地各高校要将高校毕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业生</w:t>
      </w:r>
      <w:r>
        <w:rPr>
          <w:rFonts w:hint="eastAsia" w:ascii="仿宋_GB2312" w:hAnsi="仿宋_GB2312" w:eastAsia="仿宋_GB2312" w:cs="仿宋_GB2312"/>
          <w:color w:val="231F20"/>
          <w:spacing w:val="13"/>
        </w:rPr>
        <w:t>就业状况作为高校办学资源配置</w:t>
      </w:r>
      <w:r>
        <w:rPr>
          <w:rFonts w:hint="eastAsia" w:ascii="仿宋_GB2312" w:hAnsi="仿宋_GB2312" w:eastAsia="仿宋_GB2312" w:cs="仿宋_GB2312"/>
          <w:color w:val="231F20"/>
          <w:spacing w:val="13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3"/>
        </w:rPr>
        <w:t>教学质量评估</w:t>
      </w:r>
      <w:r>
        <w:rPr>
          <w:rFonts w:hint="eastAsia" w:ascii="仿宋_GB2312" w:hAnsi="仿宋_GB2312" w:eastAsia="仿宋_GB2312" w:cs="仿宋_GB2312"/>
          <w:color w:val="231F20"/>
          <w:spacing w:val="13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3"/>
        </w:rPr>
        <w:t>招生计</w:t>
      </w:r>
      <w:r>
        <w:rPr>
          <w:rFonts w:hint="eastAsia" w:ascii="仿宋_GB2312" w:hAnsi="仿宋_GB2312" w:eastAsia="仿宋_GB2312" w:cs="仿宋_GB2312"/>
          <w:color w:val="231F20"/>
          <w:spacing w:val="12"/>
        </w:rPr>
        <w:t>划安排的重要依据</w:t>
      </w:r>
      <w:r>
        <w:rPr>
          <w:rFonts w:hint="eastAsia" w:ascii="仿宋_GB2312" w:hAnsi="仿宋_GB2312" w:eastAsia="仿宋_GB2312" w:cs="仿宋_GB2312"/>
          <w:color w:val="231F20"/>
          <w:spacing w:val="12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2"/>
        </w:rPr>
        <w:t>综合考虑高校办学质量和毕业生就业状况</w:t>
      </w:r>
      <w:r>
        <w:rPr>
          <w:rFonts w:hint="eastAsia" w:ascii="仿宋_GB2312" w:hAnsi="仿宋_GB2312" w:eastAsia="仿宋_GB2312" w:cs="仿宋_GB2312"/>
          <w:color w:val="231F20"/>
          <w:spacing w:val="12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2"/>
        </w:rPr>
        <w:t>优化招生计划分配方式</w:t>
      </w:r>
      <w:r>
        <w:rPr>
          <w:rFonts w:hint="eastAsia" w:ascii="仿宋_GB2312" w:hAnsi="仿宋_GB2312" w:eastAsia="仿宋_GB2312" w:cs="仿宋_GB2312"/>
          <w:color w:val="231F20"/>
          <w:spacing w:val="12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2"/>
        </w:rPr>
        <w:t>主动对接经济社会发展需要</w:t>
      </w:r>
      <w:r>
        <w:rPr>
          <w:rFonts w:hint="eastAsia" w:ascii="仿宋_GB2312" w:hAnsi="仿宋_GB2312" w:eastAsia="仿宋_GB2312" w:cs="仿宋_GB2312"/>
          <w:color w:val="231F20"/>
          <w:spacing w:val="12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2"/>
        </w:rPr>
        <w:t>有针对性优化人才培养</w:t>
      </w:r>
      <w:r>
        <w:rPr>
          <w:rFonts w:hint="eastAsia" w:ascii="仿宋_GB2312" w:hAnsi="仿宋_GB2312" w:eastAsia="仿宋_GB2312" w:cs="仿宋_GB2312"/>
          <w:color w:val="231F20"/>
          <w:spacing w:val="11"/>
        </w:rPr>
        <w:t>方案</w:t>
      </w:r>
      <w:r>
        <w:rPr>
          <w:rFonts w:hint="eastAsia" w:ascii="仿宋_GB2312" w:hAnsi="仿宋_GB2312" w:eastAsia="仿宋_GB2312" w:cs="仿宋_GB2312"/>
          <w:color w:val="231F20"/>
          <w:spacing w:val="11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1"/>
        </w:rPr>
        <w:t>全面提升高校毕业生专业素养</w:t>
      </w:r>
      <w:r>
        <w:rPr>
          <w:rFonts w:hint="eastAsia" w:ascii="仿宋_GB2312" w:hAnsi="仿宋_GB2312" w:eastAsia="仿宋_GB2312" w:cs="仿宋_GB2312"/>
          <w:color w:val="231F20"/>
          <w:spacing w:val="11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1"/>
        </w:rPr>
        <w:t>创新思维和就业能力</w:t>
      </w:r>
      <w:r>
        <w:rPr>
          <w:rFonts w:hint="eastAsia" w:ascii="仿宋_GB2312" w:hAnsi="仿宋_GB2312" w:eastAsia="仿宋_GB2312" w:cs="仿宋_GB2312"/>
          <w:color w:val="231F20"/>
          <w:spacing w:val="11"/>
          <w:position w:val="1"/>
        </w:rPr>
        <w:t>。</w:t>
      </w:r>
    </w:p>
    <w:p w14:paraId="21C8FC9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2" w:firstLineChars="200"/>
        <w:textAlignment w:val="baseline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18"/>
        </w:rPr>
        <w:t>二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充分发挥促就业政策的引领作用</w:t>
      </w:r>
    </w:p>
    <w:p w14:paraId="11910C9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4" w:firstLineChars="200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21"/>
        </w:rPr>
        <w:t>4.加力落实助企稳岗促就业政策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各地各高校要积极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配合相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关部门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加力落实税收优惠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社保补贴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培训补贴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创业担保贷</w:t>
      </w:r>
      <w:r>
        <w:rPr>
          <w:rFonts w:hint="eastAsia" w:ascii="仿宋_GB2312" w:hAnsi="仿宋_GB2312" w:eastAsia="仿宋_GB2312" w:cs="仿宋_GB2312"/>
          <w:color w:val="231F20"/>
          <w:spacing w:val="30"/>
        </w:rPr>
        <w:t>款等政策</w:t>
      </w:r>
      <w:r>
        <w:rPr>
          <w:rFonts w:hint="eastAsia" w:ascii="仿宋_GB2312" w:hAnsi="仿宋_GB2312" w:eastAsia="仿宋_GB2312" w:cs="仿宋_GB2312"/>
          <w:color w:val="231F20"/>
          <w:spacing w:val="30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30"/>
        </w:rPr>
        <w:t>多措并举激发经营主体吸纳高校毕业生</w:t>
      </w:r>
      <w:r>
        <w:rPr>
          <w:rFonts w:hint="eastAsia" w:ascii="仿宋_GB2312" w:hAnsi="仿宋_GB2312" w:eastAsia="仿宋_GB2312" w:cs="仿宋_GB2312"/>
          <w:color w:val="231F20"/>
          <w:spacing w:val="29"/>
        </w:rPr>
        <w:t>就业的积极</w:t>
      </w:r>
      <w:r>
        <w:rPr>
          <w:rFonts w:hint="eastAsia" w:ascii="仿宋_GB2312" w:hAnsi="仿宋_GB2312" w:eastAsia="仿宋_GB2312" w:cs="仿宋_GB2312"/>
          <w:color w:val="231F20"/>
          <w:spacing w:val="11"/>
        </w:rPr>
        <w:t>性</w:t>
      </w:r>
      <w:r>
        <w:rPr>
          <w:rFonts w:hint="eastAsia" w:ascii="仿宋_GB2312" w:hAnsi="仿宋_GB2312" w:eastAsia="仿宋_GB2312" w:cs="仿宋_GB2312"/>
          <w:color w:val="231F20"/>
          <w:spacing w:val="11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1"/>
        </w:rPr>
        <w:t>要加大促就业政策宣传解读</w:t>
      </w:r>
      <w:r>
        <w:rPr>
          <w:rFonts w:hint="eastAsia" w:ascii="仿宋_GB2312" w:hAnsi="仿宋_GB2312" w:eastAsia="仿宋_GB2312" w:cs="仿宋_GB2312"/>
          <w:color w:val="231F20"/>
          <w:spacing w:val="11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1"/>
        </w:rPr>
        <w:t>组织</w:t>
      </w:r>
      <w:r>
        <w:rPr>
          <w:rFonts w:hint="eastAsia" w:ascii="仿宋_GB2312" w:hAnsi="仿宋_GB2312" w:eastAsia="仿宋_GB2312" w:cs="仿宋_GB2312"/>
          <w:color w:val="231F20"/>
          <w:spacing w:val="11"/>
          <w:position w:val="1"/>
        </w:rPr>
        <w:t>“</w:t>
      </w:r>
      <w:r>
        <w:rPr>
          <w:rFonts w:hint="eastAsia" w:ascii="仿宋_GB2312" w:hAnsi="仿宋_GB2312" w:eastAsia="仿宋_GB2312" w:cs="仿宋_GB2312"/>
          <w:color w:val="231F20"/>
          <w:spacing w:val="11"/>
        </w:rPr>
        <w:t>高校毕业生就业政策宣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传月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”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活动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系统梳理本地高校毕业生就业创业政策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通过制作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政策地图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政策海报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政策汇编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积极推进就业政策进园区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进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企业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进高校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进社区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推动各项政策加快落地见效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惠企</w:t>
      </w:r>
      <w:r>
        <w:rPr>
          <w:rFonts w:hint="eastAsia" w:ascii="仿宋_GB2312" w:hAnsi="仿宋_GB2312" w:eastAsia="仿宋_GB2312" w:cs="仿宋_GB2312"/>
          <w:color w:val="231F20"/>
          <w:spacing w:val="7"/>
        </w:rPr>
        <w:t>利生</w:t>
      </w:r>
      <w:r>
        <w:rPr>
          <w:rFonts w:hint="eastAsia" w:ascii="仿宋_GB2312" w:hAnsi="仿宋_GB2312" w:eastAsia="仿宋_GB2312" w:cs="仿宋_GB2312"/>
          <w:color w:val="231F20"/>
          <w:spacing w:val="7"/>
          <w:position w:val="1"/>
        </w:rPr>
        <w:t>。</w:t>
      </w:r>
    </w:p>
    <w:p w14:paraId="1C14A51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0" w:firstLineChars="200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20"/>
        </w:rPr>
        <w:t>5.优化规范招聘安排和秩序</w:t>
      </w:r>
      <w:r>
        <w:rPr>
          <w:rFonts w:hint="eastAsia" w:ascii="仿宋_GB2312" w:hAnsi="仿宋_GB2312" w:eastAsia="仿宋_GB2312" w:cs="仿宋_GB2312"/>
          <w:color w:val="231F20"/>
          <w:spacing w:val="20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各地各高校要按照</w:t>
      </w:r>
      <w:r>
        <w:rPr>
          <w:rFonts w:hint="eastAsia" w:ascii="仿宋_GB2312" w:hAnsi="仿宋_GB2312" w:eastAsia="仿宋_GB2312" w:cs="仿宋_GB2312"/>
          <w:color w:val="231F20"/>
          <w:spacing w:val="20"/>
          <w:position w:val="1"/>
        </w:rPr>
        <w:t>“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能早尽</w:t>
      </w:r>
      <w:r>
        <w:rPr>
          <w:rFonts w:hint="eastAsia" w:ascii="仿宋_GB2312" w:hAnsi="仿宋_GB2312" w:eastAsia="仿宋_GB2312" w:cs="仿宋_GB2312"/>
          <w:color w:val="231F20"/>
          <w:spacing w:val="6"/>
        </w:rPr>
        <w:t>早</w:t>
      </w:r>
      <w:r>
        <w:rPr>
          <w:rFonts w:hint="eastAsia" w:ascii="仿宋_GB2312" w:hAnsi="仿宋_GB2312" w:eastAsia="仿宋_GB2312" w:cs="仿宋_GB2312"/>
          <w:color w:val="231F20"/>
          <w:spacing w:val="6"/>
          <w:position w:val="1"/>
        </w:rPr>
        <w:t>”“</w:t>
      </w:r>
      <w:r>
        <w:rPr>
          <w:rFonts w:hint="eastAsia" w:ascii="仿宋_GB2312" w:hAnsi="仿宋_GB2312" w:eastAsia="仿宋_GB2312" w:cs="仿宋_GB2312"/>
          <w:color w:val="231F20"/>
          <w:spacing w:val="6"/>
        </w:rPr>
        <w:t>能扩尽扩</w:t>
      </w:r>
      <w:r>
        <w:rPr>
          <w:rFonts w:hint="eastAsia" w:ascii="仿宋_GB2312" w:hAnsi="仿宋_GB2312" w:eastAsia="仿宋_GB2312" w:cs="仿宋_GB2312"/>
          <w:color w:val="231F20"/>
          <w:spacing w:val="6"/>
          <w:position w:val="1"/>
        </w:rPr>
        <w:t>”</w:t>
      </w:r>
      <w:r>
        <w:rPr>
          <w:rFonts w:hint="eastAsia" w:ascii="仿宋_GB2312" w:hAnsi="仿宋_GB2312" w:eastAsia="仿宋_GB2312" w:cs="仿宋_GB2312"/>
          <w:color w:val="231F20"/>
          <w:spacing w:val="6"/>
        </w:rPr>
        <w:t>的原则</w:t>
      </w:r>
      <w:r>
        <w:rPr>
          <w:rFonts w:hint="eastAsia" w:ascii="仿宋_GB2312" w:hAnsi="仿宋_GB2312" w:eastAsia="仿宋_GB2312" w:cs="仿宋_GB2312"/>
          <w:color w:val="231F20"/>
          <w:spacing w:val="6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6"/>
        </w:rPr>
        <w:t>统筹协调好本地党政机关</w:t>
      </w:r>
      <w:r>
        <w:rPr>
          <w:rFonts w:hint="eastAsia" w:ascii="仿宋_GB2312" w:hAnsi="仿宋_GB2312" w:eastAsia="仿宋_GB2312" w:cs="仿宋_GB2312"/>
          <w:color w:val="231F20"/>
          <w:spacing w:val="6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6"/>
        </w:rPr>
        <w:t>事业单位</w:t>
      </w:r>
      <w:r>
        <w:rPr>
          <w:rFonts w:hint="eastAsia" w:ascii="仿宋_GB2312" w:hAnsi="仿宋_GB2312" w:eastAsia="仿宋_GB2312" w:cs="仿宋_GB2312"/>
          <w:color w:val="231F20"/>
          <w:spacing w:val="6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国有企业招聘（录）高校毕业生和各类升学考试时间安排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确保全部在8月底前完成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积极推动相关部门合理确定各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类职业资格</w:t>
      </w:r>
      <w:r>
        <w:rPr>
          <w:rFonts w:hint="eastAsia" w:ascii="仿宋_GB2312" w:hAnsi="仿宋_GB2312" w:eastAsia="仿宋_GB2312" w:cs="仿宋_GB2312"/>
          <w:color w:val="231F20"/>
          <w:spacing w:val="26"/>
        </w:rPr>
        <w:t>考试时间</w:t>
      </w:r>
      <w:r>
        <w:rPr>
          <w:rFonts w:hint="eastAsia" w:ascii="仿宋_GB2312" w:hAnsi="仿宋_GB2312" w:eastAsia="仿宋_GB2312" w:cs="仿宋_GB2312"/>
          <w:color w:val="231F20"/>
          <w:spacing w:val="26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26"/>
        </w:rPr>
        <w:t>稳定并扩大政策性岗位招录规模</w:t>
      </w:r>
      <w:r>
        <w:rPr>
          <w:rFonts w:hint="eastAsia" w:ascii="仿宋_GB2312" w:hAnsi="仿宋_GB2312" w:eastAsia="仿宋_GB2312" w:cs="仿宋_GB2312"/>
          <w:color w:val="231F20"/>
          <w:spacing w:val="26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26"/>
        </w:rPr>
        <w:t>畅通入伍绿色通</w:t>
      </w:r>
      <w:r>
        <w:rPr>
          <w:rFonts w:hint="eastAsia" w:ascii="仿宋_GB2312" w:hAnsi="仿宋_GB2312" w:eastAsia="仿宋_GB2312" w:cs="仿宋_GB2312"/>
          <w:color w:val="231F20"/>
          <w:spacing w:val="30"/>
        </w:rPr>
        <w:t>道</w:t>
      </w:r>
      <w:r>
        <w:rPr>
          <w:rFonts w:hint="eastAsia" w:ascii="仿宋_GB2312" w:hAnsi="仿宋_GB2312" w:eastAsia="仿宋_GB2312" w:cs="仿宋_GB2312"/>
          <w:color w:val="231F20"/>
          <w:spacing w:val="30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30"/>
        </w:rPr>
        <w:t>积极配合兵役机关做好兵员预征预储和大学生精准征兵工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作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各高校要统筹安排好教育教学与就业工作进程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确保有序开</w:t>
      </w:r>
      <w:r>
        <w:rPr>
          <w:rFonts w:hint="eastAsia" w:ascii="仿宋_GB2312" w:hAnsi="仿宋_GB2312" w:eastAsia="仿宋_GB2312" w:cs="仿宋_GB2312"/>
          <w:color w:val="231F20"/>
          <w:spacing w:val="16"/>
        </w:rPr>
        <w:t>展</w:t>
      </w:r>
      <w:r>
        <w:rPr>
          <w:rFonts w:hint="eastAsia" w:ascii="仿宋_GB2312" w:hAnsi="仿宋_GB2312" w:eastAsia="仿宋_GB2312" w:cs="仿宋_GB2312"/>
          <w:color w:val="231F20"/>
          <w:spacing w:val="16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6"/>
        </w:rPr>
        <w:t>有效衔接</w:t>
      </w:r>
      <w:r>
        <w:rPr>
          <w:rFonts w:hint="eastAsia" w:ascii="仿宋_GB2312" w:hAnsi="仿宋_GB2312" w:eastAsia="仿宋_GB2312" w:cs="仿宋_GB2312"/>
          <w:color w:val="231F20"/>
          <w:spacing w:val="16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6"/>
        </w:rPr>
        <w:t>为毕业生在校期间求职预留时间</w:t>
      </w:r>
      <w:r>
        <w:rPr>
          <w:rFonts w:hint="eastAsia" w:ascii="仿宋_GB2312" w:hAnsi="仿宋_GB2312" w:eastAsia="仿宋_GB2312" w:cs="仿宋_GB2312"/>
          <w:color w:val="231F20"/>
          <w:spacing w:val="16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6"/>
        </w:rPr>
        <w:t>发挥国有企业</w:t>
      </w:r>
      <w:r>
        <w:rPr>
          <w:rFonts w:hint="eastAsia" w:ascii="仿宋_GB2312" w:hAnsi="仿宋_GB2312" w:eastAsia="仿宋_GB2312" w:cs="仿宋_GB2312"/>
          <w:color w:val="231F20"/>
          <w:spacing w:val="-2"/>
        </w:rPr>
        <w:t>示范作用</w:t>
      </w:r>
      <w:r>
        <w:rPr>
          <w:rFonts w:hint="eastAsia" w:ascii="仿宋_GB2312" w:hAnsi="仿宋_GB2312" w:eastAsia="仿宋_GB2312" w:cs="仿宋_GB2312"/>
          <w:color w:val="231F20"/>
          <w:spacing w:val="-2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-2"/>
        </w:rPr>
        <w:t>办好</w:t>
      </w:r>
      <w:r>
        <w:rPr>
          <w:rFonts w:hint="eastAsia" w:ascii="仿宋_GB2312" w:hAnsi="仿宋_GB2312" w:eastAsia="仿宋_GB2312" w:cs="仿宋_GB2312"/>
          <w:color w:val="231F20"/>
          <w:spacing w:val="-2"/>
          <w:position w:val="1"/>
        </w:rPr>
        <w:t>“</w:t>
      </w:r>
      <w:r>
        <w:rPr>
          <w:rFonts w:hint="eastAsia" w:ascii="仿宋_GB2312" w:hAnsi="仿宋_GB2312" w:eastAsia="仿宋_GB2312" w:cs="仿宋_GB2312"/>
          <w:color w:val="231F20"/>
          <w:spacing w:val="-2"/>
        </w:rPr>
        <w:t>国聘行动</w:t>
      </w:r>
      <w:r>
        <w:rPr>
          <w:rFonts w:hint="eastAsia" w:ascii="仿宋_GB2312" w:hAnsi="仿宋_GB2312" w:eastAsia="仿宋_GB2312" w:cs="仿宋_GB2312"/>
          <w:color w:val="231F20"/>
          <w:spacing w:val="-2"/>
          <w:position w:val="1"/>
        </w:rPr>
        <w:t>”。</w:t>
      </w:r>
    </w:p>
    <w:p w14:paraId="6F0C54F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4" w:firstLineChars="200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21"/>
        </w:rPr>
        <w:t>6.支持灵活就业和自主创业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各地各高校要充分挖掘新产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业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新业态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新模式带动就业潜力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引导毕业生发挥专业所长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在数字经济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绿色经济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银发经济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创意经济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低空经济等多领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域灵活就业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配合有关部门落实灵活就业社会保障政策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充分发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挥创业带动就业作用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落实创业支持和减税降费政策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在资金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场地等方面向高校毕业生创业者倾斜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为高校毕业生创新创业孵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化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成果转化等提供服务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。</w:t>
      </w:r>
    </w:p>
    <w:p w14:paraId="03F99A0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6" w:firstLineChars="200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19"/>
        </w:rPr>
        <w:t>7.强化高校毕业生就业相关支持政策研究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鼓励各地各高校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围绕贯彻落实国家重大战略部署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发展新质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生产力</w:t>
      </w:r>
      <w:r>
        <w:rPr>
          <w:rFonts w:hint="eastAsia" w:ascii="仿宋_GB2312" w:hAnsi="仿宋_GB2312" w:eastAsia="仿宋_GB2312" w:cs="仿宋_GB2312"/>
          <w:color w:val="231F20"/>
          <w:spacing w:val="20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推动经济社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会高质量发展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系统梳理国家和地方出台的系列稳就业政策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研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究新的就业增长点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结合本地本校实际推出促进高校毕业生就业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的政策举措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聚焦高校毕业生就业工作理论和现实问题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开展促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进高校毕业生供需适配</w:t>
      </w:r>
      <w:r>
        <w:rPr>
          <w:rFonts w:hint="eastAsia" w:ascii="仿宋_GB2312" w:hAnsi="仿宋_GB2312" w:eastAsia="仿宋_GB2312" w:cs="仿宋_GB2312"/>
          <w:color w:val="231F20"/>
          <w:spacing w:val="20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就业政策论证与效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果评估等前瞻性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实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证性研究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探索高校毕业生就业工作规律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强化政策支撑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。</w:t>
      </w:r>
    </w:p>
    <w:p w14:paraId="3C80D4F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6" w:firstLineChars="200"/>
        <w:textAlignment w:val="baseline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19"/>
        </w:rPr>
        <w:t>三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开发更多有利于发挥所学所长的就业岗位</w:t>
      </w:r>
    </w:p>
    <w:p w14:paraId="0CD8501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00" w:firstLineChars="200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5"/>
        </w:rPr>
        <w:t>8.深入开展</w:t>
      </w:r>
      <w:r>
        <w:rPr>
          <w:rFonts w:hint="eastAsia" w:ascii="仿宋_GB2312" w:hAnsi="仿宋_GB2312" w:eastAsia="仿宋_GB2312" w:cs="仿宋_GB2312"/>
          <w:color w:val="231F20"/>
          <w:spacing w:val="5"/>
          <w:position w:val="1"/>
        </w:rPr>
        <w:t>“</w:t>
      </w:r>
      <w:r>
        <w:rPr>
          <w:rFonts w:hint="eastAsia" w:ascii="仿宋_GB2312" w:hAnsi="仿宋_GB2312" w:eastAsia="仿宋_GB2312" w:cs="仿宋_GB2312"/>
          <w:color w:val="231F20"/>
          <w:spacing w:val="5"/>
        </w:rPr>
        <w:t>访企拓岗</w:t>
      </w:r>
      <w:r>
        <w:rPr>
          <w:rFonts w:hint="eastAsia" w:ascii="仿宋_GB2312" w:hAnsi="仿宋_GB2312" w:eastAsia="仿宋_GB2312" w:cs="仿宋_GB2312"/>
          <w:color w:val="231F20"/>
          <w:spacing w:val="5"/>
          <w:position w:val="1"/>
        </w:rPr>
        <w:t>”</w:t>
      </w:r>
      <w:r>
        <w:rPr>
          <w:rFonts w:hint="eastAsia" w:ascii="仿宋_GB2312" w:hAnsi="仿宋_GB2312" w:eastAsia="仿宋_GB2312" w:cs="仿宋_GB2312"/>
          <w:color w:val="231F20"/>
          <w:spacing w:val="5"/>
        </w:rPr>
        <w:t>行动</w:t>
      </w:r>
      <w:r>
        <w:rPr>
          <w:rFonts w:hint="eastAsia" w:ascii="仿宋_GB2312" w:hAnsi="仿宋_GB2312" w:eastAsia="仿宋_GB2312" w:cs="仿宋_GB2312"/>
          <w:color w:val="231F20"/>
          <w:spacing w:val="5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5"/>
        </w:rPr>
        <w:t>各地各高校要</w:t>
      </w:r>
      <w:r>
        <w:rPr>
          <w:rFonts w:hint="eastAsia" w:ascii="仿宋_GB2312" w:hAnsi="仿宋_GB2312" w:eastAsia="仿宋_GB2312" w:cs="仿宋_GB2312"/>
          <w:color w:val="231F20"/>
          <w:spacing w:val="4"/>
        </w:rPr>
        <w:t>按照</w:t>
      </w:r>
      <w:r>
        <w:rPr>
          <w:rFonts w:hint="eastAsia" w:ascii="仿宋_GB2312" w:hAnsi="仿宋_GB2312" w:eastAsia="仿宋_GB2312" w:cs="仿宋_GB2312"/>
          <w:color w:val="231F20"/>
          <w:spacing w:val="4"/>
          <w:position w:val="1"/>
        </w:rPr>
        <w:t>“</w:t>
      </w:r>
      <w:r>
        <w:rPr>
          <w:rFonts w:hint="eastAsia" w:ascii="仿宋_GB2312" w:hAnsi="仿宋_GB2312" w:eastAsia="仿宋_GB2312" w:cs="仿宋_GB2312"/>
          <w:color w:val="231F20"/>
          <w:spacing w:val="4"/>
        </w:rPr>
        <w:t>秋季校</w:t>
      </w:r>
      <w:r>
        <w:rPr>
          <w:rFonts w:hint="eastAsia" w:ascii="仿宋_GB2312" w:hAnsi="仿宋_GB2312" w:eastAsia="仿宋_GB2312" w:cs="仿宋_GB2312"/>
          <w:color w:val="231F20"/>
          <w:spacing w:val="9"/>
        </w:rPr>
        <w:t>园招聘月</w:t>
      </w:r>
      <w:r>
        <w:rPr>
          <w:rFonts w:hint="eastAsia" w:ascii="仿宋_GB2312" w:hAnsi="仿宋_GB2312" w:eastAsia="仿宋_GB2312" w:cs="仿宋_GB2312"/>
          <w:color w:val="231F20"/>
          <w:spacing w:val="9"/>
          <w:position w:val="1"/>
        </w:rPr>
        <w:t>”“</w:t>
      </w:r>
      <w:r>
        <w:rPr>
          <w:rFonts w:hint="eastAsia" w:ascii="仿宋_GB2312" w:hAnsi="仿宋_GB2312" w:eastAsia="仿宋_GB2312" w:cs="仿宋_GB2312"/>
          <w:color w:val="231F20"/>
          <w:spacing w:val="9"/>
        </w:rPr>
        <w:t>寒假暖心行动</w:t>
      </w:r>
      <w:r>
        <w:rPr>
          <w:rFonts w:hint="eastAsia" w:ascii="仿宋_GB2312" w:hAnsi="仿宋_GB2312" w:eastAsia="仿宋_GB2312" w:cs="仿宋_GB2312"/>
          <w:color w:val="231F20"/>
          <w:spacing w:val="9"/>
          <w:position w:val="1"/>
        </w:rPr>
        <w:t>”“</w:t>
      </w:r>
      <w:r>
        <w:rPr>
          <w:rFonts w:hint="eastAsia" w:ascii="仿宋_GB2312" w:hAnsi="仿宋_GB2312" w:eastAsia="仿宋_GB2312" w:cs="仿宋_GB2312"/>
          <w:color w:val="231F20"/>
          <w:spacing w:val="9"/>
        </w:rPr>
        <w:t>春季攻坚行动</w:t>
      </w:r>
      <w:r>
        <w:rPr>
          <w:rFonts w:hint="eastAsia" w:ascii="仿宋_GB2312" w:hAnsi="仿宋_GB2312" w:eastAsia="仿宋_GB2312" w:cs="仿宋_GB2312"/>
          <w:color w:val="231F20"/>
          <w:spacing w:val="9"/>
          <w:position w:val="1"/>
        </w:rPr>
        <w:t>”“</w:t>
      </w:r>
      <w:r>
        <w:rPr>
          <w:rFonts w:hint="eastAsia" w:ascii="仿宋_GB2312" w:hAnsi="仿宋_GB2312" w:eastAsia="仿宋_GB2312" w:cs="仿宋_GB2312"/>
          <w:color w:val="231F20"/>
          <w:spacing w:val="9"/>
        </w:rPr>
        <w:t>百日冲刺行动</w:t>
      </w:r>
      <w:r>
        <w:rPr>
          <w:rFonts w:hint="eastAsia" w:ascii="仿宋_GB2312" w:hAnsi="仿宋_GB2312" w:eastAsia="仿宋_GB2312" w:cs="仿宋_GB2312"/>
          <w:color w:val="231F20"/>
          <w:spacing w:val="9"/>
          <w:position w:val="1"/>
        </w:rPr>
        <w:t>”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安排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持续不断开拓就业岗位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各高校要认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真落实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“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两个100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”</w:t>
      </w:r>
      <w:r>
        <w:rPr>
          <w:rFonts w:hint="eastAsia" w:ascii="仿宋_GB2312" w:hAnsi="仿宋_GB2312" w:eastAsia="仿宋_GB2312" w:cs="仿宋_GB2312"/>
          <w:color w:val="231F20"/>
          <w:spacing w:val="8"/>
        </w:rPr>
        <w:t>和</w:t>
      </w:r>
      <w:r>
        <w:rPr>
          <w:rFonts w:hint="eastAsia" w:ascii="仿宋_GB2312" w:hAnsi="仿宋_GB2312" w:eastAsia="仿宋_GB2312" w:cs="仿宋_GB2312"/>
          <w:color w:val="231F20"/>
          <w:spacing w:val="8"/>
          <w:position w:val="1"/>
        </w:rPr>
        <w:t>“</w:t>
      </w:r>
      <w:r>
        <w:rPr>
          <w:rFonts w:hint="eastAsia" w:ascii="仿宋_GB2312" w:hAnsi="仿宋_GB2312" w:eastAsia="仿宋_GB2312" w:cs="仿宋_GB2312"/>
          <w:color w:val="231F20"/>
          <w:spacing w:val="8"/>
        </w:rPr>
        <w:t>不少于10家</w:t>
      </w:r>
      <w:r>
        <w:rPr>
          <w:rFonts w:hint="eastAsia" w:ascii="仿宋_GB2312" w:hAnsi="仿宋_GB2312" w:eastAsia="仿宋_GB2312" w:cs="仿宋_GB2312"/>
          <w:color w:val="231F20"/>
          <w:spacing w:val="8"/>
          <w:position w:val="1"/>
        </w:rPr>
        <w:t>”</w:t>
      </w:r>
      <w:r>
        <w:rPr>
          <w:rFonts w:hint="eastAsia" w:ascii="仿宋_GB2312" w:hAnsi="仿宋_GB2312" w:eastAsia="仿宋_GB2312" w:cs="仿宋_GB2312"/>
          <w:color w:val="231F20"/>
          <w:spacing w:val="8"/>
        </w:rPr>
        <w:t>要求</w:t>
      </w:r>
      <w:r>
        <w:rPr>
          <w:rFonts w:hint="eastAsia" w:ascii="仿宋_GB2312" w:hAnsi="仿宋_GB2312" w:eastAsia="仿宋_GB2312" w:cs="仿宋_GB2312"/>
          <w:color w:val="231F20"/>
          <w:spacing w:val="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8"/>
        </w:rPr>
        <w:t>调动高校全员力量</w:t>
      </w:r>
      <w:r>
        <w:rPr>
          <w:rFonts w:hint="eastAsia" w:ascii="仿宋_GB2312" w:hAnsi="仿宋_GB2312" w:eastAsia="仿宋_GB2312" w:cs="仿宋_GB2312"/>
          <w:color w:val="231F20"/>
          <w:spacing w:val="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8"/>
        </w:rPr>
        <w:t>用好</w:t>
      </w:r>
      <w:r>
        <w:rPr>
          <w:rFonts w:hint="eastAsia" w:ascii="仿宋_GB2312" w:hAnsi="仿宋_GB2312" w:eastAsia="仿宋_GB2312" w:cs="仿宋_GB2312"/>
          <w:color w:val="231F20"/>
          <w:spacing w:val="7"/>
        </w:rPr>
        <w:t>校友资源优</w:t>
      </w:r>
      <w:r>
        <w:rPr>
          <w:rFonts w:hint="eastAsia" w:ascii="仿宋_GB2312" w:hAnsi="仿宋_GB2312" w:eastAsia="仿宋_GB2312" w:cs="仿宋_GB2312"/>
          <w:color w:val="231F20"/>
          <w:spacing w:val="10"/>
        </w:rPr>
        <w:t>势</w:t>
      </w:r>
      <w:r>
        <w:rPr>
          <w:rFonts w:hint="eastAsia" w:ascii="仿宋_GB2312" w:hAnsi="仿宋_GB2312" w:eastAsia="仿宋_GB2312" w:cs="仿宋_GB2312"/>
          <w:color w:val="231F20"/>
          <w:spacing w:val="10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0"/>
        </w:rPr>
        <w:t>密切联系合作企业</w:t>
      </w:r>
      <w:r>
        <w:rPr>
          <w:rFonts w:hint="eastAsia" w:ascii="仿宋_GB2312" w:hAnsi="仿宋_GB2312" w:eastAsia="仿宋_GB2312" w:cs="仿宋_GB2312"/>
          <w:color w:val="231F20"/>
          <w:spacing w:val="10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0"/>
        </w:rPr>
        <w:t>持续深入开展</w:t>
      </w:r>
      <w:r>
        <w:rPr>
          <w:rFonts w:hint="eastAsia" w:ascii="仿宋_GB2312" w:hAnsi="仿宋_GB2312" w:eastAsia="仿宋_GB2312" w:cs="仿宋_GB2312"/>
          <w:color w:val="231F20"/>
          <w:spacing w:val="10"/>
          <w:position w:val="1"/>
        </w:rPr>
        <w:t>“</w:t>
      </w:r>
      <w:r>
        <w:rPr>
          <w:rFonts w:hint="eastAsia" w:ascii="仿宋_GB2312" w:hAnsi="仿宋_GB2312" w:eastAsia="仿宋_GB2312" w:cs="仿宋_GB2312"/>
          <w:color w:val="231F20"/>
          <w:spacing w:val="10"/>
        </w:rPr>
        <w:t>高校书记校长访企拓岗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促就业专项行动</w:t>
      </w:r>
      <w:r>
        <w:rPr>
          <w:rFonts w:hint="eastAsia" w:ascii="仿宋_GB2312" w:hAnsi="仿宋_GB2312" w:eastAsia="仿宋_GB2312" w:cs="仿宋_GB2312"/>
          <w:color w:val="231F20"/>
          <w:spacing w:val="20"/>
          <w:position w:val="1"/>
        </w:rPr>
        <w:t>”，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足质足量开拓就业岗位</w:t>
      </w:r>
      <w:r>
        <w:rPr>
          <w:rFonts w:hint="eastAsia" w:ascii="仿宋_GB2312" w:hAnsi="仿宋_GB2312" w:eastAsia="仿宋_GB2312" w:cs="仿宋_GB2312"/>
          <w:color w:val="231F20"/>
          <w:spacing w:val="20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各地要加强统筹协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调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指导高校与相关地方政府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行业企业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产业园区等建立常态</w:t>
      </w:r>
      <w:r>
        <w:rPr>
          <w:rFonts w:hint="eastAsia" w:ascii="仿宋_GB2312" w:hAnsi="仿宋_GB2312" w:eastAsia="仿宋_GB2312" w:cs="仿宋_GB2312"/>
          <w:color w:val="231F20"/>
          <w:spacing w:val="25"/>
        </w:rPr>
        <w:t>化就业合作</w:t>
      </w:r>
      <w:r>
        <w:rPr>
          <w:rFonts w:hint="eastAsia" w:ascii="仿宋_GB2312" w:hAnsi="仿宋_GB2312" w:eastAsia="仿宋_GB2312" w:cs="仿宋_GB2312"/>
          <w:color w:val="231F20"/>
          <w:spacing w:val="25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25"/>
        </w:rPr>
        <w:t>发掘一批吸纳毕业生稳定就业的优质企业和单位</w:t>
      </w:r>
      <w:r>
        <w:rPr>
          <w:rFonts w:hint="eastAsia" w:ascii="仿宋_GB2312" w:hAnsi="仿宋_GB2312" w:eastAsia="仿宋_GB2312" w:cs="仿宋_GB2312"/>
          <w:color w:val="231F20"/>
          <w:spacing w:val="25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鼓励引导群团组织</w:t>
      </w:r>
      <w:r>
        <w:rPr>
          <w:rFonts w:hint="eastAsia" w:ascii="仿宋_GB2312" w:hAnsi="仿宋_GB2312" w:eastAsia="仿宋_GB2312" w:cs="仿宋_GB2312"/>
          <w:color w:val="231F20"/>
          <w:spacing w:val="20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慈善组织</w:t>
      </w:r>
      <w:r>
        <w:rPr>
          <w:rFonts w:hint="eastAsia" w:ascii="仿宋_GB2312" w:hAnsi="仿宋_GB2312" w:eastAsia="仿宋_GB2312" w:cs="仿宋_GB2312"/>
          <w:color w:val="231F20"/>
          <w:spacing w:val="20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社会组织和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社会招聘服务机构等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开发岗位资源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提供面向高校毕业生的专业化就业服务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。</w:t>
      </w:r>
    </w:p>
    <w:p w14:paraId="4EF01FB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2" w:firstLineChars="200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13"/>
        </w:rPr>
        <w:t>9.充分用好校园招聘主渠道</w:t>
      </w:r>
      <w:r>
        <w:rPr>
          <w:rFonts w:hint="eastAsia" w:ascii="仿宋_GB2312" w:hAnsi="仿宋_GB2312" w:eastAsia="仿宋_GB2312" w:cs="仿宋_GB2312"/>
          <w:color w:val="231F20"/>
          <w:spacing w:val="13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3"/>
        </w:rPr>
        <w:t>各地各高校要拓展实施</w:t>
      </w:r>
      <w:r>
        <w:rPr>
          <w:rFonts w:hint="eastAsia" w:ascii="仿宋_GB2312" w:hAnsi="仿宋_GB2312" w:eastAsia="仿宋_GB2312" w:cs="仿宋_GB2312"/>
          <w:color w:val="231F20"/>
          <w:spacing w:val="12"/>
          <w:position w:val="1"/>
        </w:rPr>
        <w:t>“</w:t>
      </w:r>
      <w:r>
        <w:rPr>
          <w:rFonts w:hint="eastAsia" w:ascii="仿宋_GB2312" w:hAnsi="仿宋_GB2312" w:eastAsia="仿宋_GB2312" w:cs="仿宋_GB2312"/>
          <w:color w:val="231F20"/>
          <w:spacing w:val="12"/>
        </w:rPr>
        <w:t>万企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进校园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”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计划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主动邀请用人单位进校招聘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鼓励联合公共就业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创业服务机构开展校园招聘活动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在活动现场设置政策咨询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就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业指导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直播带岗等专区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丰富校园招聘活动形式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3"/>
        </w:rPr>
        <w:t>支持二级院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系积极开展小而精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专而优的小型专场招聘活动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提高校园招聘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活动实效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鼓励各地加强与政府部门沟通合作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充分发挥全国普</w:t>
      </w:r>
      <w:r>
        <w:rPr>
          <w:rFonts w:hint="eastAsia" w:ascii="仿宋_GB2312" w:hAnsi="仿宋_GB2312" w:eastAsia="仿宋_GB2312" w:cs="仿宋_GB2312"/>
          <w:color w:val="231F20"/>
          <w:spacing w:val="30"/>
        </w:rPr>
        <w:t>通高校毕业生就业创业指导委员会和行业协</w:t>
      </w:r>
      <w:r>
        <w:rPr>
          <w:rFonts w:hint="eastAsia" w:ascii="仿宋_GB2312" w:hAnsi="仿宋_GB2312" w:eastAsia="仿宋_GB2312" w:cs="仿宋_GB2312"/>
          <w:color w:val="231F20"/>
          <w:spacing w:val="29"/>
        </w:rPr>
        <w:t>会作用</w:t>
      </w:r>
      <w:r>
        <w:rPr>
          <w:rFonts w:hint="eastAsia" w:ascii="仿宋_GB2312" w:hAnsi="仿宋_GB2312" w:eastAsia="仿宋_GB2312" w:cs="仿宋_GB2312"/>
          <w:color w:val="231F20"/>
          <w:spacing w:val="29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29"/>
        </w:rPr>
        <w:t>归集分行</w:t>
      </w:r>
      <w:r>
        <w:rPr>
          <w:rFonts w:hint="eastAsia" w:ascii="仿宋_GB2312" w:hAnsi="仿宋_GB2312" w:eastAsia="仿宋_GB2312" w:cs="仿宋_GB2312"/>
          <w:color w:val="231F20"/>
          <w:spacing w:val="13"/>
        </w:rPr>
        <w:t>业</w:t>
      </w:r>
      <w:r>
        <w:rPr>
          <w:rFonts w:hint="eastAsia" w:ascii="仿宋_GB2312" w:hAnsi="仿宋_GB2312" w:eastAsia="仿宋_GB2312" w:cs="仿宋_GB2312"/>
          <w:color w:val="231F20"/>
          <w:spacing w:val="13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3"/>
        </w:rPr>
        <w:t>分区域</w:t>
      </w:r>
      <w:r>
        <w:rPr>
          <w:rFonts w:hint="eastAsia" w:ascii="仿宋_GB2312" w:hAnsi="仿宋_GB2312" w:eastAsia="仿宋_GB2312" w:cs="仿宋_GB2312"/>
          <w:color w:val="231F20"/>
          <w:spacing w:val="13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3"/>
        </w:rPr>
        <w:t>分领域就业岗位</w:t>
      </w:r>
      <w:r>
        <w:rPr>
          <w:rFonts w:hint="eastAsia" w:ascii="仿宋_GB2312" w:hAnsi="仿宋_GB2312" w:eastAsia="仿宋_GB2312" w:cs="仿宋_GB2312"/>
          <w:color w:val="231F20"/>
          <w:spacing w:val="13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3"/>
        </w:rPr>
        <w:t>组织用人单位组团进校招聘</w:t>
      </w:r>
      <w:r>
        <w:rPr>
          <w:rFonts w:hint="eastAsia" w:ascii="仿宋_GB2312" w:hAnsi="仿宋_GB2312" w:eastAsia="仿宋_GB2312" w:cs="仿宋_GB2312"/>
          <w:color w:val="231F20"/>
          <w:spacing w:val="13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3"/>
        </w:rPr>
        <w:t>共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建一批区域性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行业性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联盟性就业市场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要重点关注就业工作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基础薄弱的高校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加大招聘活动支持力度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加密招聘活动频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次</w:t>
      </w:r>
      <w:r>
        <w:rPr>
          <w:rFonts w:hint="eastAsia" w:ascii="仿宋_GB2312" w:hAnsi="仿宋_GB2312" w:eastAsia="仿宋_GB2312" w:cs="仿宋_GB2312"/>
          <w:color w:val="231F20"/>
          <w:spacing w:val="20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2"/>
        </w:rPr>
        <w:t>定向送资源</w:t>
      </w:r>
      <w:r>
        <w:rPr>
          <w:rFonts w:hint="eastAsia" w:ascii="仿宋_GB2312" w:hAnsi="仿宋_GB2312" w:eastAsia="仿宋_GB2312" w:cs="仿宋_GB2312"/>
          <w:color w:val="231F20"/>
          <w:spacing w:val="12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2"/>
        </w:rPr>
        <w:t>送岗位</w:t>
      </w:r>
      <w:r>
        <w:rPr>
          <w:rFonts w:hint="eastAsia" w:ascii="仿宋_GB2312" w:hAnsi="仿宋_GB2312" w:eastAsia="仿宋_GB2312" w:cs="仿宋_GB2312"/>
          <w:color w:val="231F20"/>
          <w:spacing w:val="12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2"/>
        </w:rPr>
        <w:t>送服务</w:t>
      </w:r>
      <w:r>
        <w:rPr>
          <w:rFonts w:hint="eastAsia" w:ascii="仿宋_GB2312" w:hAnsi="仿宋_GB2312" w:eastAsia="仿宋_GB2312" w:cs="仿宋_GB2312"/>
          <w:color w:val="231F20"/>
          <w:spacing w:val="12"/>
          <w:position w:val="1"/>
        </w:rPr>
        <w:t>。</w:t>
      </w:r>
    </w:p>
    <w:p w14:paraId="25A5E9C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4" w:firstLineChars="200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21"/>
        </w:rPr>
        <w:t>10.支持中小企业吸纳就业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开展民营企业招聘高校毕业生专项行动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鼓励主动服务本地区科技领军企业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瞪羚企业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专精</w:t>
      </w:r>
      <w:r>
        <w:rPr>
          <w:rFonts w:hint="eastAsia" w:ascii="仿宋_GB2312" w:hAnsi="仿宋_GB2312" w:eastAsia="仿宋_GB2312" w:cs="仿宋_GB2312"/>
          <w:color w:val="231F20"/>
          <w:spacing w:val="22"/>
        </w:rPr>
        <w:t>特新中小企业等重点企业人才需求</w:t>
      </w:r>
      <w:r>
        <w:rPr>
          <w:rFonts w:hint="eastAsia" w:ascii="仿宋_GB2312" w:hAnsi="仿宋_GB2312" w:eastAsia="仿宋_GB2312" w:cs="仿宋_GB2312"/>
          <w:color w:val="231F20"/>
          <w:spacing w:val="22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22"/>
        </w:rPr>
        <w:t>支持民营企业</w:t>
      </w:r>
      <w:r>
        <w:rPr>
          <w:rFonts w:hint="eastAsia" w:ascii="仿宋_GB2312" w:hAnsi="仿宋_GB2312" w:eastAsia="仿宋_GB2312" w:cs="仿宋_GB2312"/>
          <w:color w:val="231F20"/>
          <w:spacing w:val="22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22"/>
        </w:rPr>
        <w:t>中小企业进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校宣讲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加大宣传推介力度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主动提供多元化就业服务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配合相</w:t>
      </w:r>
      <w:r>
        <w:rPr>
          <w:rFonts w:hint="eastAsia" w:ascii="仿宋_GB2312" w:hAnsi="仿宋_GB2312" w:eastAsia="仿宋_GB2312" w:cs="仿宋_GB2312"/>
          <w:color w:val="231F20"/>
          <w:spacing w:val="30"/>
        </w:rPr>
        <w:t>关部门落实鼓励民营企业</w:t>
      </w:r>
      <w:r>
        <w:rPr>
          <w:rFonts w:hint="eastAsia" w:ascii="仿宋_GB2312" w:hAnsi="仿宋_GB2312" w:eastAsia="仿宋_GB2312" w:cs="仿宋_GB2312"/>
          <w:color w:val="231F20"/>
          <w:spacing w:val="30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30"/>
        </w:rPr>
        <w:t>中小企业稳岗拓岗支持政策</w:t>
      </w:r>
      <w:r>
        <w:rPr>
          <w:rFonts w:hint="eastAsia" w:ascii="仿宋_GB2312" w:hAnsi="仿宋_GB2312" w:eastAsia="仿宋_GB2312" w:cs="仿宋_GB2312"/>
          <w:color w:val="231F20"/>
          <w:spacing w:val="30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30"/>
        </w:rPr>
        <w:t>办好</w:t>
      </w:r>
      <w:r>
        <w:rPr>
          <w:rFonts w:hint="eastAsia" w:ascii="仿宋_GB2312" w:hAnsi="仿宋_GB2312" w:eastAsia="仿宋_GB2312" w:cs="仿宋_GB2312"/>
          <w:color w:val="231F20"/>
          <w:spacing w:val="3"/>
          <w:position w:val="1"/>
        </w:rPr>
        <w:t>“‘</w:t>
      </w:r>
      <w:r>
        <w:rPr>
          <w:rFonts w:hint="eastAsia" w:ascii="仿宋_GB2312" w:hAnsi="仿宋_GB2312" w:eastAsia="仿宋_GB2312" w:cs="仿宋_GB2312"/>
          <w:color w:val="231F20"/>
          <w:spacing w:val="3"/>
        </w:rPr>
        <w:t>百城千校万企</w:t>
      </w:r>
      <w:r>
        <w:rPr>
          <w:rFonts w:hint="eastAsia" w:ascii="仿宋_GB2312" w:hAnsi="仿宋_GB2312" w:eastAsia="仿宋_GB2312" w:cs="仿宋_GB2312"/>
          <w:color w:val="231F20"/>
          <w:spacing w:val="3"/>
          <w:position w:val="1"/>
        </w:rPr>
        <w:t>9</w:t>
      </w:r>
      <w:r>
        <w:rPr>
          <w:rFonts w:hint="eastAsia" w:ascii="仿宋_GB2312" w:hAnsi="仿宋_GB2312" w:eastAsia="仿宋_GB2312" w:cs="仿宋_GB2312"/>
          <w:color w:val="231F20"/>
          <w:spacing w:val="3"/>
        </w:rPr>
        <w:t>民企高校携手促就业行动</w:t>
      </w:r>
      <w:r>
        <w:rPr>
          <w:rFonts w:hint="eastAsia" w:ascii="仿宋_GB2312" w:hAnsi="仿宋_GB2312" w:eastAsia="仿宋_GB2312" w:cs="仿宋_GB2312"/>
          <w:color w:val="231F20"/>
          <w:spacing w:val="3"/>
          <w:position w:val="1"/>
        </w:rPr>
        <w:t>”、“</w:t>
      </w:r>
      <w:r>
        <w:rPr>
          <w:rFonts w:hint="eastAsia" w:ascii="仿宋_GB2312" w:hAnsi="仿宋_GB2312" w:eastAsia="仿宋_GB2312" w:cs="仿宋_GB2312"/>
          <w:color w:val="231F20"/>
          <w:spacing w:val="3"/>
        </w:rPr>
        <w:t>中小企业网上百</w:t>
      </w:r>
      <w:r>
        <w:rPr>
          <w:rFonts w:hint="eastAsia" w:ascii="仿宋_GB2312" w:hAnsi="仿宋_GB2312" w:eastAsia="仿宋_GB2312" w:cs="仿宋_GB2312"/>
          <w:color w:val="231F20"/>
          <w:spacing w:val="11"/>
        </w:rPr>
        <w:t>日招聘高校毕业生</w:t>
      </w:r>
      <w:r>
        <w:rPr>
          <w:rFonts w:hint="eastAsia" w:ascii="仿宋_GB2312" w:hAnsi="仿宋_GB2312" w:eastAsia="仿宋_GB2312" w:cs="仿宋_GB2312"/>
          <w:color w:val="231F20"/>
          <w:spacing w:val="11"/>
          <w:position w:val="1"/>
        </w:rPr>
        <w:t>”、“</w:t>
      </w:r>
      <w:r>
        <w:rPr>
          <w:rFonts w:hint="eastAsia" w:ascii="仿宋_GB2312" w:hAnsi="仿宋_GB2312" w:eastAsia="仿宋_GB2312" w:cs="仿宋_GB2312"/>
          <w:color w:val="231F20"/>
          <w:spacing w:val="11"/>
        </w:rPr>
        <w:t>民营企业服务月</w:t>
      </w:r>
      <w:r>
        <w:rPr>
          <w:rFonts w:hint="eastAsia" w:ascii="仿宋_GB2312" w:hAnsi="仿宋_GB2312" w:eastAsia="仿宋_GB2312" w:cs="仿宋_GB2312"/>
          <w:color w:val="231F20"/>
          <w:spacing w:val="11"/>
          <w:position w:val="1"/>
        </w:rPr>
        <w:t>”</w:t>
      </w:r>
      <w:r>
        <w:rPr>
          <w:rFonts w:hint="eastAsia" w:ascii="仿宋_GB2312" w:hAnsi="仿宋_GB2312" w:eastAsia="仿宋_GB2312" w:cs="仿宋_GB2312"/>
          <w:color w:val="231F20"/>
          <w:spacing w:val="11"/>
        </w:rPr>
        <w:t>等活动</w:t>
      </w:r>
      <w:r>
        <w:rPr>
          <w:rFonts w:hint="eastAsia" w:ascii="仿宋_GB2312" w:hAnsi="仿宋_GB2312" w:eastAsia="仿宋_GB2312" w:cs="仿宋_GB2312"/>
          <w:color w:val="231F20"/>
          <w:spacing w:val="11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1"/>
        </w:rPr>
        <w:t>汇聚更多岗位</w:t>
      </w:r>
      <w:r>
        <w:rPr>
          <w:rFonts w:hint="eastAsia" w:ascii="仿宋_GB2312" w:hAnsi="仿宋_GB2312" w:eastAsia="仿宋_GB2312" w:cs="仿宋_GB2312"/>
          <w:color w:val="231F20"/>
          <w:spacing w:val="52"/>
        </w:rPr>
        <w:t>资源</w:t>
      </w:r>
      <w:r>
        <w:rPr>
          <w:rFonts w:hint="eastAsia" w:ascii="仿宋_GB2312" w:hAnsi="仿宋_GB2312" w:eastAsia="仿宋_GB2312" w:cs="仿宋_GB2312"/>
          <w:color w:val="231F20"/>
          <w:spacing w:val="52"/>
          <w:position w:val="1"/>
        </w:rPr>
        <w:t>。</w:t>
      </w:r>
    </w:p>
    <w:p w14:paraId="48C7B85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8" w:firstLineChars="200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22"/>
        </w:rPr>
        <w:t>11.创新挖掘基层就业空间</w:t>
      </w:r>
      <w:r>
        <w:rPr>
          <w:rFonts w:hint="eastAsia" w:ascii="仿宋_GB2312" w:hAnsi="仿宋_GB2312" w:eastAsia="仿宋_GB2312" w:cs="仿宋_GB2312"/>
          <w:color w:val="231F20"/>
          <w:spacing w:val="22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22"/>
        </w:rPr>
        <w:t>各地各高校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要配合有关部门组</w:t>
      </w:r>
      <w:r>
        <w:rPr>
          <w:rFonts w:hint="eastAsia" w:ascii="仿宋_GB2312" w:hAnsi="仿宋_GB2312" w:eastAsia="仿宋_GB2312" w:cs="仿宋_GB2312"/>
          <w:color w:val="231F20"/>
          <w:spacing w:val="3"/>
        </w:rPr>
        <w:t>织实施好</w:t>
      </w:r>
      <w:r>
        <w:rPr>
          <w:rFonts w:hint="eastAsia" w:ascii="仿宋_GB2312" w:hAnsi="仿宋_GB2312" w:eastAsia="仿宋_GB2312" w:cs="仿宋_GB2312"/>
          <w:color w:val="231F20"/>
          <w:spacing w:val="3"/>
          <w:position w:val="1"/>
        </w:rPr>
        <w:t>“</w:t>
      </w:r>
      <w:r>
        <w:rPr>
          <w:rFonts w:hint="eastAsia" w:ascii="仿宋_GB2312" w:hAnsi="仿宋_GB2312" w:eastAsia="仿宋_GB2312" w:cs="仿宋_GB2312"/>
          <w:color w:val="231F20"/>
          <w:spacing w:val="3"/>
        </w:rPr>
        <w:t>特岗计划</w:t>
      </w:r>
      <w:r>
        <w:rPr>
          <w:rFonts w:hint="eastAsia" w:ascii="仿宋_GB2312" w:hAnsi="仿宋_GB2312" w:eastAsia="仿宋_GB2312" w:cs="仿宋_GB2312"/>
          <w:color w:val="231F20"/>
          <w:spacing w:val="3"/>
          <w:position w:val="1"/>
        </w:rPr>
        <w:t>”“</w:t>
      </w:r>
      <w:r>
        <w:rPr>
          <w:rFonts w:hint="eastAsia" w:ascii="仿宋_GB2312" w:hAnsi="仿宋_GB2312" w:eastAsia="仿宋_GB2312" w:cs="仿宋_GB2312"/>
          <w:color w:val="231F20"/>
          <w:spacing w:val="3"/>
        </w:rPr>
        <w:t>三支一扶</w:t>
      </w:r>
      <w:r>
        <w:rPr>
          <w:rFonts w:hint="eastAsia" w:ascii="仿宋_GB2312" w:hAnsi="仿宋_GB2312" w:eastAsia="仿宋_GB2312" w:cs="仿宋_GB2312"/>
          <w:color w:val="231F20"/>
          <w:spacing w:val="3"/>
          <w:position w:val="1"/>
        </w:rPr>
        <w:t>”“</w:t>
      </w:r>
      <w:r>
        <w:rPr>
          <w:rFonts w:hint="eastAsia" w:ascii="仿宋_GB2312" w:hAnsi="仿宋_GB2312" w:eastAsia="仿宋_GB2312" w:cs="仿宋_GB2312"/>
          <w:color w:val="231F20"/>
          <w:spacing w:val="3"/>
        </w:rPr>
        <w:t>西部计划</w:t>
      </w:r>
      <w:r>
        <w:rPr>
          <w:rFonts w:hint="eastAsia" w:ascii="仿宋_GB2312" w:hAnsi="仿宋_GB2312" w:eastAsia="仿宋_GB2312" w:cs="仿宋_GB2312"/>
          <w:color w:val="231F20"/>
          <w:spacing w:val="3"/>
          <w:position w:val="1"/>
        </w:rPr>
        <w:t>”“</w:t>
      </w:r>
      <w:r>
        <w:rPr>
          <w:rFonts w:hint="eastAsia" w:ascii="仿宋_GB2312" w:hAnsi="仿宋_GB2312" w:eastAsia="仿宋_GB2312" w:cs="仿宋_GB2312"/>
          <w:color w:val="231F20"/>
          <w:spacing w:val="3"/>
        </w:rPr>
        <w:t>大学生乡村医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生专项计划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”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等基层项目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加大科研助理岗位开发力度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支持各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地围绕乡村振兴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基层治理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产业发展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用好现有各类资金和政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策渠道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开发城乡社区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养老服务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农业科技等岗位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鼓励结合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地方实际和高校办学特色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创新实施基层就业</w:t>
      </w:r>
      <w:r>
        <w:rPr>
          <w:rFonts w:hint="eastAsia" w:ascii="仿宋_GB2312" w:hAnsi="仿宋_GB2312" w:eastAsia="仿宋_GB2312" w:cs="仿宋_GB2312"/>
          <w:color w:val="231F20"/>
          <w:spacing w:val="16"/>
        </w:rPr>
        <w:t>项目</w:t>
      </w:r>
      <w:r>
        <w:rPr>
          <w:rFonts w:hint="eastAsia" w:ascii="仿宋_GB2312" w:hAnsi="仿宋_GB2312" w:eastAsia="仿宋_GB2312" w:cs="仿宋_GB2312"/>
          <w:color w:val="231F20"/>
          <w:spacing w:val="16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6"/>
        </w:rPr>
        <w:t>出台配套支持政策</w:t>
      </w:r>
      <w:r>
        <w:rPr>
          <w:rFonts w:hint="eastAsia" w:ascii="仿宋_GB2312" w:hAnsi="仿宋_GB2312" w:eastAsia="仿宋_GB2312" w:cs="仿宋_GB2312"/>
          <w:color w:val="231F20"/>
          <w:spacing w:val="16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6"/>
        </w:rPr>
        <w:t>为毕业生提供更多基层就业渠道</w:t>
      </w:r>
      <w:r>
        <w:rPr>
          <w:rFonts w:hint="eastAsia" w:ascii="仿宋_GB2312" w:hAnsi="仿宋_GB2312" w:eastAsia="仿宋_GB2312" w:cs="仿宋_GB2312"/>
          <w:color w:val="231F20"/>
          <w:position w:val="-2"/>
        </w:rPr>
        <w:drawing>
          <wp:inline distT="0" distB="0" distL="0" distR="0">
            <wp:extent cx="43815" cy="4381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245" cy="4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B09B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8" w:firstLineChars="200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22"/>
        </w:rPr>
        <w:t>12.全面推广使用国家大学生就业服务平台</w:t>
      </w:r>
      <w:r>
        <w:rPr>
          <w:rFonts w:hint="eastAsia" w:ascii="仿宋_GB2312" w:hAnsi="仿宋_GB2312" w:eastAsia="仿宋_GB2312" w:cs="仿宋_GB2312"/>
          <w:color w:val="231F20"/>
          <w:spacing w:val="22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22"/>
        </w:rPr>
        <w:t>依托平台建立</w:t>
      </w:r>
      <w:r>
        <w:rPr>
          <w:rFonts w:hint="eastAsia" w:ascii="仿宋_GB2312" w:hAnsi="仿宋_GB2312" w:eastAsia="仿宋_GB2312" w:cs="仿宋_GB2312"/>
          <w:color w:val="231F20"/>
          <w:spacing w:val="16"/>
        </w:rPr>
        <w:t>就业信息归集机制</w:t>
      </w:r>
      <w:r>
        <w:rPr>
          <w:rFonts w:hint="eastAsia" w:ascii="仿宋_GB2312" w:hAnsi="仿宋_GB2312" w:eastAsia="仿宋_GB2312" w:cs="仿宋_GB2312"/>
          <w:color w:val="231F20"/>
          <w:spacing w:val="16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6"/>
        </w:rPr>
        <w:t>推进国家</w:t>
      </w:r>
      <w:r>
        <w:rPr>
          <w:rFonts w:hint="eastAsia" w:ascii="仿宋_GB2312" w:hAnsi="仿宋_GB2312" w:eastAsia="仿宋_GB2312" w:cs="仿宋_GB2312"/>
          <w:color w:val="231F20"/>
          <w:spacing w:val="16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6"/>
        </w:rPr>
        <w:t>省级</w:t>
      </w:r>
      <w:r>
        <w:rPr>
          <w:rFonts w:hint="eastAsia" w:ascii="仿宋_GB2312" w:hAnsi="仿宋_GB2312" w:eastAsia="仿宋_GB2312" w:cs="仿宋_GB2312"/>
          <w:color w:val="231F20"/>
          <w:spacing w:val="16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6"/>
        </w:rPr>
        <w:t>高校三级毕业生就业服务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网络互联共享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实时对接社会招聘机构岗位信息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持续举办网络</w:t>
      </w:r>
      <w:r>
        <w:rPr>
          <w:rFonts w:hint="eastAsia" w:ascii="仿宋_GB2312" w:hAnsi="仿宋_GB2312" w:eastAsia="仿宋_GB2312" w:cs="仿宋_GB2312"/>
          <w:color w:val="231F20"/>
          <w:spacing w:val="16"/>
        </w:rPr>
        <w:t>招聘活动</w:t>
      </w:r>
      <w:r>
        <w:rPr>
          <w:rFonts w:hint="eastAsia" w:ascii="仿宋_GB2312" w:hAnsi="仿宋_GB2312" w:eastAsia="仿宋_GB2312" w:cs="仿宋_GB2312"/>
          <w:color w:val="231F20"/>
          <w:position w:val="-2"/>
        </w:rPr>
        <w:drawing>
          <wp:inline distT="0" distB="0" distL="0" distR="0">
            <wp:extent cx="43815" cy="4381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245" cy="4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231F20"/>
          <w:spacing w:val="16"/>
        </w:rPr>
        <w:t>加快就业服务智慧化升级</w:t>
      </w:r>
      <w:r>
        <w:rPr>
          <w:rFonts w:hint="eastAsia" w:ascii="仿宋_GB2312" w:hAnsi="仿宋_GB2312" w:eastAsia="仿宋_GB2312" w:cs="仿宋_GB2312"/>
          <w:color w:val="231F20"/>
          <w:spacing w:val="16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6"/>
        </w:rPr>
        <w:t>优化完善平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台功能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实现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高校毕业生就业服务一体化办理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精准化服务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智能化管理</w:t>
      </w:r>
      <w:r>
        <w:rPr>
          <w:rFonts w:hint="eastAsia" w:ascii="仿宋_GB2312" w:hAnsi="仿宋_GB2312" w:eastAsia="仿宋_GB2312" w:cs="仿宋_GB2312"/>
          <w:color w:val="231F20"/>
          <w:position w:val="-2"/>
        </w:rPr>
        <w:drawing>
          <wp:inline distT="0" distB="0" distL="0" distR="0">
            <wp:extent cx="43815" cy="4381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245" cy="4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231F20"/>
          <w:spacing w:val="18"/>
        </w:rPr>
        <w:t>主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动精准向毕业生推送就业指南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岗位资源</w:t>
      </w:r>
      <w:r>
        <w:rPr>
          <w:rFonts w:hint="eastAsia" w:ascii="仿宋_GB2312" w:hAnsi="仿宋_GB2312" w:eastAsia="仿宋_GB2312" w:cs="仿宋_GB2312"/>
          <w:color w:val="231F20"/>
          <w:position w:val="-2"/>
        </w:rPr>
        <w:drawing>
          <wp:inline distT="0" distB="0" distL="0" distR="0">
            <wp:extent cx="43815" cy="4381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245" cy="4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各地各高校要主动与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平台共享岗位信息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组织就业工作人员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毕业班辅导员和有就业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意愿的高校毕业生及时注册使用</w:t>
      </w:r>
      <w:r>
        <w:rPr>
          <w:rFonts w:hint="eastAsia" w:ascii="仿宋_GB2312" w:hAnsi="仿宋_GB2312" w:eastAsia="仿宋_GB2312" w:cs="仿宋_GB2312"/>
          <w:color w:val="231F20"/>
          <w:position w:val="-2"/>
        </w:rPr>
        <w:drawing>
          <wp:inline distT="0" distB="0" distL="0" distR="0">
            <wp:extent cx="43815" cy="4381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245" cy="4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C308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15"/>
        </w:rPr>
        <w:t>四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做实做细就业指导帮扶</w:t>
      </w:r>
    </w:p>
    <w:p w14:paraId="116FFC4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4" w:firstLineChars="200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21"/>
        </w:rPr>
        <w:t>13.强化生涯教育与就业指导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各地各高校要将职业生涯教</w:t>
      </w:r>
      <w:r>
        <w:rPr>
          <w:rFonts w:hint="eastAsia" w:ascii="仿宋_GB2312" w:hAnsi="仿宋_GB2312" w:eastAsia="仿宋_GB2312" w:cs="仿宋_GB2312"/>
          <w:color w:val="231F20"/>
          <w:spacing w:val="30"/>
        </w:rPr>
        <w:t>育融入高校人才培养全过程</w:t>
      </w:r>
      <w:r>
        <w:rPr>
          <w:rFonts w:hint="eastAsia" w:ascii="仿宋_GB2312" w:hAnsi="仿宋_GB2312" w:eastAsia="仿宋_GB2312" w:cs="仿宋_GB2312"/>
          <w:color w:val="231F20"/>
          <w:spacing w:val="30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30"/>
        </w:rPr>
        <w:t>完善生涯教育与就业指导课程体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系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推动把相关课程作为必修课列入人才培养方案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给予学时学分保障</w:t>
      </w:r>
      <w:r>
        <w:rPr>
          <w:rFonts w:hint="eastAsia" w:ascii="仿宋_GB2312" w:hAnsi="仿宋_GB2312" w:eastAsia="仿宋_GB2312" w:cs="仿宋_GB2312"/>
          <w:color w:val="231F20"/>
          <w:position w:val="-2"/>
        </w:rPr>
        <w:drawing>
          <wp:inline distT="0" distB="0" distL="0" distR="0">
            <wp:extent cx="43815" cy="4381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245" cy="4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231F20"/>
          <w:spacing w:val="17"/>
        </w:rPr>
        <w:t>打造一批名师金课及精品教材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鼓励培育教学成果</w:t>
      </w:r>
      <w:r>
        <w:rPr>
          <w:rFonts w:hint="eastAsia" w:ascii="仿宋_GB2312" w:hAnsi="仿宋_GB2312" w:eastAsia="仿宋_GB2312" w:cs="仿宋_GB2312"/>
          <w:color w:val="231F20"/>
          <w:position w:val="-2"/>
        </w:rPr>
        <w:drawing>
          <wp:inline distT="0" distB="0" distL="0" distR="0">
            <wp:extent cx="43815" cy="4381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245" cy="4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231F20"/>
          <w:spacing w:val="17"/>
        </w:rPr>
        <w:t>办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好第二届全国大学生职业规划大赛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将大赛与各类就业指导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实习实践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校园招聘等活动统筹组织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引导大学生科学合理规划学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业与职业发展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提升就业竞争力</w:t>
      </w:r>
      <w:r>
        <w:rPr>
          <w:rFonts w:hint="eastAsia" w:ascii="仿宋_GB2312" w:hAnsi="仿宋_GB2312" w:eastAsia="仿宋_GB2312" w:cs="仿宋_GB2312"/>
          <w:color w:val="231F20"/>
          <w:position w:val="-2"/>
        </w:rPr>
        <w:drawing>
          <wp:inline distT="0" distB="0" distL="0" distR="0">
            <wp:extent cx="43815" cy="4381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245" cy="4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231F20"/>
          <w:spacing w:val="14"/>
        </w:rPr>
        <w:t>聚焦社会需求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产业变化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探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索面向高年级学生开设专业微课程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职业培训课程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提升学生综</w:t>
      </w:r>
      <w:r>
        <w:rPr>
          <w:rFonts w:hint="eastAsia" w:ascii="仿宋_GB2312" w:hAnsi="仿宋_GB2312" w:eastAsia="仿宋_GB2312" w:cs="仿宋_GB2312"/>
          <w:color w:val="231F20"/>
          <w:spacing w:val="13"/>
        </w:rPr>
        <w:t>合素养</w:t>
      </w:r>
      <w:r>
        <w:rPr>
          <w:rFonts w:hint="eastAsia" w:ascii="仿宋_GB2312" w:hAnsi="仿宋_GB2312" w:eastAsia="仿宋_GB2312" w:cs="仿宋_GB2312"/>
          <w:color w:val="231F20"/>
          <w:position w:val="-2"/>
        </w:rPr>
        <w:drawing>
          <wp:inline distT="0" distB="0" distL="0" distR="0">
            <wp:extent cx="43815" cy="4381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245" cy="4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9812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8" w:firstLineChars="200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22"/>
        </w:rPr>
        <w:t>14.加强就业育人与观念引导</w:t>
      </w:r>
      <w:r>
        <w:rPr>
          <w:rFonts w:hint="eastAsia" w:ascii="仿宋_GB2312" w:hAnsi="仿宋_GB2312" w:eastAsia="仿宋_GB2312" w:cs="仿宋_GB2312"/>
          <w:color w:val="231F20"/>
          <w:spacing w:val="22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22"/>
        </w:rPr>
        <w:t>各地各高校要把就业教育作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为全员全过程全方位育人的重要内容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推动与思想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政治教育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专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业教育深度融合</w:t>
      </w:r>
      <w:r>
        <w:rPr>
          <w:rFonts w:hint="eastAsia" w:ascii="仿宋_GB2312" w:hAnsi="仿宋_GB2312" w:eastAsia="仿宋_GB2312" w:cs="仿宋_GB2312"/>
          <w:color w:val="231F20"/>
          <w:position w:val="-2"/>
        </w:rPr>
        <w:drawing>
          <wp:inline distT="0" distB="0" distL="0" distR="0">
            <wp:extent cx="43815" cy="4381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245" cy="4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加强就业心理健康教育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推进个性化求职心理</w:t>
      </w:r>
      <w:r>
        <w:rPr>
          <w:rFonts w:hint="eastAsia" w:ascii="仿宋_GB2312" w:hAnsi="仿宋_GB2312" w:eastAsia="仿宋_GB2312" w:cs="仿宋_GB2312"/>
          <w:color w:val="231F20"/>
          <w:spacing w:val="9"/>
        </w:rPr>
        <w:t>疏导</w:t>
      </w:r>
      <w:r>
        <w:rPr>
          <w:rFonts w:hint="eastAsia" w:ascii="仿宋_GB2312" w:hAnsi="仿宋_GB2312" w:eastAsia="仿宋_GB2312" w:cs="仿宋_GB2312"/>
          <w:color w:val="231F20"/>
          <w:spacing w:val="9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9"/>
        </w:rPr>
        <w:t>开展</w:t>
      </w:r>
      <w:r>
        <w:rPr>
          <w:rFonts w:hint="eastAsia" w:ascii="仿宋_GB2312" w:hAnsi="仿宋_GB2312" w:eastAsia="仿宋_GB2312" w:cs="仿宋_GB2312"/>
          <w:color w:val="231F20"/>
          <w:spacing w:val="9"/>
          <w:position w:val="1"/>
        </w:rPr>
        <w:t>“</w:t>
      </w:r>
      <w:r>
        <w:rPr>
          <w:rFonts w:hint="eastAsia" w:ascii="仿宋_GB2312" w:hAnsi="仿宋_GB2312" w:eastAsia="仿宋_GB2312" w:cs="仿宋_GB2312"/>
          <w:color w:val="231F20"/>
          <w:spacing w:val="9"/>
        </w:rPr>
        <w:t>永远跟党走</w:t>
      </w:r>
      <w:r>
        <w:rPr>
          <w:rFonts w:hint="eastAsia" w:ascii="仿宋_GB2312" w:hAnsi="仿宋_GB2312" w:eastAsia="仿宋_GB2312" w:cs="仿宋_GB2312"/>
          <w:color w:val="231F20"/>
          <w:spacing w:val="9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9"/>
        </w:rPr>
        <w:t>到祖国需要的地方去</w:t>
      </w:r>
      <w:r>
        <w:rPr>
          <w:rFonts w:hint="eastAsia" w:ascii="仿宋_GB2312" w:hAnsi="仿宋_GB2312" w:eastAsia="仿宋_GB2312" w:cs="仿宋_GB2312"/>
          <w:color w:val="231F20"/>
          <w:spacing w:val="8"/>
          <w:position w:val="1"/>
        </w:rPr>
        <w:t>”“</w:t>
      </w:r>
      <w:r>
        <w:rPr>
          <w:rFonts w:hint="eastAsia" w:ascii="仿宋_GB2312" w:hAnsi="仿宋_GB2312" w:eastAsia="仿宋_GB2312" w:cs="仿宋_GB2312"/>
          <w:color w:val="231F20"/>
          <w:spacing w:val="8"/>
        </w:rPr>
        <w:t>高校毕业生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基层就业卓越奖学（教）金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”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推荐宣传等活动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营造劳动光荣的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社会风尚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激励高校毕业生到新疆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西藏等西部地区</w:t>
      </w:r>
      <w:r>
        <w:rPr>
          <w:rFonts w:hint="eastAsia" w:ascii="仿宋_GB2312" w:hAnsi="仿宋_GB2312" w:eastAsia="仿宋_GB2312" w:cs="仿宋_GB2312"/>
          <w:color w:val="231F20"/>
          <w:spacing w:val="13"/>
        </w:rPr>
        <w:t>就业</w:t>
      </w:r>
      <w:r>
        <w:rPr>
          <w:rFonts w:hint="eastAsia" w:ascii="仿宋_GB2312" w:hAnsi="仿宋_GB2312" w:eastAsia="仿宋_GB2312" w:cs="仿宋_GB2312"/>
          <w:color w:val="231F20"/>
          <w:spacing w:val="13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3"/>
        </w:rPr>
        <w:t>引导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高校毕业生投身重点领域</w:t>
      </w:r>
      <w:r>
        <w:rPr>
          <w:rFonts w:hint="eastAsia" w:ascii="仿宋_GB2312" w:hAnsi="仿宋_GB2312" w:eastAsia="仿宋_GB2312" w:cs="仿宋_GB2312"/>
          <w:color w:val="231F20"/>
          <w:spacing w:val="20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重点行业</w:t>
      </w:r>
      <w:r>
        <w:rPr>
          <w:rFonts w:hint="eastAsia" w:ascii="仿宋_GB2312" w:hAnsi="仿宋_GB2312" w:eastAsia="仿宋_GB2312" w:cs="仿宋_GB2312"/>
          <w:color w:val="231F20"/>
          <w:spacing w:val="20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城乡基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层和中小微企业就</w:t>
      </w:r>
      <w:r>
        <w:rPr>
          <w:rFonts w:hint="eastAsia" w:ascii="仿宋_GB2312" w:hAnsi="仿宋_GB2312" w:eastAsia="仿宋_GB2312" w:cs="仿宋_GB2312"/>
          <w:color w:val="231F20"/>
          <w:spacing w:val="13"/>
        </w:rPr>
        <w:t>业创业</w:t>
      </w:r>
      <w:r>
        <w:rPr>
          <w:rFonts w:hint="eastAsia" w:ascii="仿宋_GB2312" w:hAnsi="仿宋_GB2312" w:eastAsia="仿宋_GB2312" w:cs="仿宋_GB2312"/>
          <w:color w:val="231F20"/>
          <w:spacing w:val="13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3"/>
        </w:rPr>
        <w:t>以择业新观念打开就业新天地</w:t>
      </w:r>
      <w:r>
        <w:rPr>
          <w:rFonts w:hint="eastAsia" w:ascii="仿宋_GB2312" w:hAnsi="仿宋_GB2312" w:eastAsia="仿宋_GB2312" w:cs="仿宋_GB2312"/>
          <w:color w:val="231F20"/>
          <w:spacing w:val="13"/>
          <w:position w:val="1"/>
        </w:rPr>
        <w:t>。</w:t>
      </w:r>
    </w:p>
    <w:p w14:paraId="174A64D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8" w:firstLineChars="200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22"/>
        </w:rPr>
        <w:t>15.健全重点群体就业帮扶机制</w:t>
      </w:r>
      <w:r>
        <w:rPr>
          <w:rFonts w:hint="eastAsia" w:ascii="仿宋_GB2312" w:hAnsi="仿宋_GB2312" w:eastAsia="仿宋_GB2312" w:cs="仿宋_GB2312"/>
          <w:color w:val="231F20"/>
          <w:spacing w:val="22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22"/>
        </w:rPr>
        <w:t>各地各高校要重点关注脱</w:t>
      </w:r>
      <w:r>
        <w:rPr>
          <w:rFonts w:hint="eastAsia" w:ascii="仿宋_GB2312" w:hAnsi="仿宋_GB2312" w:eastAsia="仿宋_GB2312" w:cs="仿宋_GB2312"/>
          <w:color w:val="231F20"/>
          <w:spacing w:val="29"/>
        </w:rPr>
        <w:t>贫家庭</w:t>
      </w:r>
      <w:r>
        <w:rPr>
          <w:rFonts w:hint="eastAsia" w:ascii="仿宋_GB2312" w:hAnsi="仿宋_GB2312" w:eastAsia="仿宋_GB2312" w:cs="仿宋_GB2312"/>
          <w:color w:val="231F20"/>
          <w:spacing w:val="29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29"/>
        </w:rPr>
        <w:t>低保家庭</w:t>
      </w:r>
      <w:r>
        <w:rPr>
          <w:rFonts w:hint="eastAsia" w:ascii="仿宋_GB2312" w:hAnsi="仿宋_GB2312" w:eastAsia="仿宋_GB2312" w:cs="仿宋_GB2312"/>
          <w:color w:val="231F20"/>
          <w:spacing w:val="29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29"/>
        </w:rPr>
        <w:t>零就业家庭以及残疾等就业困难毕业生群</w:t>
      </w:r>
      <w:r>
        <w:rPr>
          <w:rFonts w:hint="eastAsia" w:ascii="仿宋_GB2312" w:hAnsi="仿宋_GB2312" w:eastAsia="仿宋_GB2312" w:cs="仿宋_GB2312"/>
          <w:color w:val="231F20"/>
          <w:spacing w:val="5"/>
        </w:rPr>
        <w:t>体</w:t>
      </w:r>
      <w:r>
        <w:rPr>
          <w:rFonts w:hint="eastAsia" w:ascii="仿宋_GB2312" w:hAnsi="仿宋_GB2312" w:eastAsia="仿宋_GB2312" w:cs="仿宋_GB2312"/>
          <w:color w:val="231F20"/>
          <w:spacing w:val="5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5"/>
        </w:rPr>
        <w:t>建立帮扶台账</w:t>
      </w:r>
      <w:r>
        <w:rPr>
          <w:rFonts w:hint="eastAsia" w:ascii="仿宋_GB2312" w:hAnsi="仿宋_GB2312" w:eastAsia="仿宋_GB2312" w:cs="仿宋_GB2312"/>
          <w:color w:val="231F20"/>
          <w:spacing w:val="5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5"/>
        </w:rPr>
        <w:t>落实</w:t>
      </w:r>
      <w:r>
        <w:rPr>
          <w:rFonts w:hint="eastAsia" w:ascii="仿宋_GB2312" w:hAnsi="仿宋_GB2312" w:eastAsia="仿宋_GB2312" w:cs="仿宋_GB2312"/>
          <w:color w:val="231F20"/>
          <w:spacing w:val="5"/>
          <w:position w:val="1"/>
        </w:rPr>
        <w:t>“</w:t>
      </w:r>
      <w:r>
        <w:rPr>
          <w:rFonts w:hint="eastAsia" w:ascii="仿宋_GB2312" w:hAnsi="仿宋_GB2312" w:eastAsia="仿宋_GB2312" w:cs="仿宋_GB2312"/>
          <w:color w:val="231F20"/>
          <w:spacing w:val="5"/>
        </w:rPr>
        <w:t>一人一档</w:t>
      </w:r>
      <w:r>
        <w:rPr>
          <w:rFonts w:hint="eastAsia" w:ascii="仿宋_GB2312" w:hAnsi="仿宋_GB2312" w:eastAsia="仿宋_GB2312" w:cs="仿宋_GB2312"/>
          <w:color w:val="231F20"/>
          <w:spacing w:val="5"/>
          <w:position w:val="1"/>
        </w:rPr>
        <w:t>”“</w:t>
      </w:r>
      <w:r>
        <w:rPr>
          <w:rFonts w:hint="eastAsia" w:ascii="仿宋_GB2312" w:hAnsi="仿宋_GB2312" w:eastAsia="仿宋_GB2312" w:cs="仿宋_GB2312"/>
          <w:color w:val="231F20"/>
          <w:spacing w:val="4"/>
        </w:rPr>
        <w:t>一人一策</w:t>
      </w:r>
      <w:r>
        <w:rPr>
          <w:rFonts w:hint="eastAsia" w:ascii="仿宋_GB2312" w:hAnsi="仿宋_GB2312" w:eastAsia="仿宋_GB2312" w:cs="仿宋_GB2312"/>
          <w:color w:val="231F20"/>
          <w:spacing w:val="4"/>
          <w:position w:val="1"/>
        </w:rPr>
        <w:t>”</w:t>
      </w:r>
      <w:r>
        <w:rPr>
          <w:rFonts w:hint="eastAsia" w:ascii="仿宋_GB2312" w:hAnsi="仿宋_GB2312" w:eastAsia="仿宋_GB2312" w:cs="仿宋_GB2312"/>
          <w:color w:val="231F20"/>
          <w:spacing w:val="4"/>
        </w:rPr>
        <w:t>精准帮扶要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求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优先提供指导咨询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优先推荐岗位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优先组织培训和就业实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习实践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高校和院系领导班子成员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专任教师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就业指导教师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辅导员等落实帮扶责任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与困难毕业生开展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“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一对一</w:t>
      </w:r>
      <w:r>
        <w:rPr>
          <w:rFonts w:hint="eastAsia" w:ascii="仿宋_GB2312" w:hAnsi="仿宋_GB2312" w:eastAsia="仿宋_GB2312" w:cs="仿宋_GB2312"/>
          <w:color w:val="231F20"/>
          <w:spacing w:val="13"/>
          <w:position w:val="1"/>
        </w:rPr>
        <w:t>”</w:t>
      </w:r>
      <w:r>
        <w:rPr>
          <w:rFonts w:hint="eastAsia" w:ascii="仿宋_GB2312" w:hAnsi="仿宋_GB2312" w:eastAsia="仿宋_GB2312" w:cs="仿宋_GB2312"/>
          <w:color w:val="231F20"/>
          <w:spacing w:val="13"/>
        </w:rPr>
        <w:t>结对帮</w:t>
      </w:r>
      <w:r>
        <w:rPr>
          <w:rFonts w:hint="eastAsia" w:ascii="仿宋_GB2312" w:hAnsi="仿宋_GB2312" w:eastAsia="仿宋_GB2312" w:cs="仿宋_GB2312"/>
          <w:color w:val="231F20"/>
          <w:spacing w:val="9"/>
        </w:rPr>
        <w:t>扶</w:t>
      </w:r>
      <w:r>
        <w:rPr>
          <w:rFonts w:hint="eastAsia" w:ascii="仿宋_GB2312" w:hAnsi="仿宋_GB2312" w:eastAsia="仿宋_GB2312" w:cs="仿宋_GB2312"/>
          <w:color w:val="231F20"/>
          <w:spacing w:val="9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9"/>
        </w:rPr>
        <w:t>组织实施好</w:t>
      </w:r>
      <w:r>
        <w:rPr>
          <w:rFonts w:hint="eastAsia" w:ascii="仿宋_GB2312" w:hAnsi="仿宋_GB2312" w:eastAsia="仿宋_GB2312" w:cs="仿宋_GB2312"/>
          <w:color w:val="231F20"/>
          <w:spacing w:val="9"/>
          <w:position w:val="1"/>
        </w:rPr>
        <w:t>“</w:t>
      </w:r>
      <w:r>
        <w:rPr>
          <w:rFonts w:hint="eastAsia" w:ascii="仿宋_GB2312" w:hAnsi="仿宋_GB2312" w:eastAsia="仿宋_GB2312" w:cs="仿宋_GB2312"/>
          <w:color w:val="231F20"/>
          <w:spacing w:val="9"/>
        </w:rPr>
        <w:t>宏志助航计划</w:t>
      </w:r>
      <w:r>
        <w:rPr>
          <w:rFonts w:hint="eastAsia" w:ascii="仿宋_GB2312" w:hAnsi="仿宋_GB2312" w:eastAsia="仿宋_GB2312" w:cs="仿宋_GB2312"/>
          <w:color w:val="231F20"/>
          <w:spacing w:val="9"/>
          <w:position w:val="1"/>
        </w:rPr>
        <w:t>”，</w:t>
      </w:r>
      <w:r>
        <w:rPr>
          <w:rFonts w:hint="eastAsia" w:ascii="仿宋_GB2312" w:hAnsi="仿宋_GB2312" w:eastAsia="仿宋_GB2312" w:cs="仿宋_GB2312"/>
          <w:color w:val="231F20"/>
          <w:spacing w:val="9"/>
        </w:rPr>
        <w:t>有序扩</w:t>
      </w:r>
      <w:r>
        <w:rPr>
          <w:rFonts w:hint="eastAsia" w:ascii="仿宋_GB2312" w:hAnsi="仿宋_GB2312" w:eastAsia="仿宋_GB2312" w:cs="仿宋_GB2312"/>
          <w:color w:val="231F20"/>
          <w:spacing w:val="8"/>
        </w:rPr>
        <w:t>大培训覆盖面</w:t>
      </w:r>
      <w:r>
        <w:rPr>
          <w:rFonts w:hint="eastAsia" w:ascii="仿宋_GB2312" w:hAnsi="仿宋_GB2312" w:eastAsia="仿宋_GB2312" w:cs="仿宋_GB2312"/>
          <w:color w:val="231F20"/>
          <w:spacing w:val="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8"/>
        </w:rPr>
        <w:t>提升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培训帮扶实效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配合人力资源社会保障部门做好离校未就业毕业</w:t>
      </w:r>
      <w:r>
        <w:rPr>
          <w:rFonts w:hint="eastAsia" w:ascii="仿宋_GB2312" w:hAnsi="仿宋_GB2312" w:eastAsia="仿宋_GB2312" w:cs="仿宋_GB2312"/>
          <w:color w:val="231F20"/>
          <w:spacing w:val="16"/>
        </w:rPr>
        <w:t>生服务接续</w:t>
      </w:r>
      <w:r>
        <w:rPr>
          <w:rFonts w:hint="eastAsia" w:ascii="仿宋_GB2312" w:hAnsi="仿宋_GB2312" w:eastAsia="仿宋_GB2312" w:cs="仿宋_GB2312"/>
          <w:color w:val="231F20"/>
          <w:spacing w:val="16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6"/>
        </w:rPr>
        <w:t>帮助他们及时享受公共就业服务</w:t>
      </w:r>
      <w:r>
        <w:rPr>
          <w:rFonts w:hint="eastAsia" w:ascii="仿宋_GB2312" w:hAnsi="仿宋_GB2312" w:eastAsia="仿宋_GB2312" w:cs="仿宋_GB2312"/>
          <w:color w:val="231F20"/>
          <w:spacing w:val="16"/>
          <w:position w:val="1"/>
        </w:rPr>
        <w:t>。</w:t>
      </w:r>
    </w:p>
    <w:p w14:paraId="43A1502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6" w:firstLineChars="200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19"/>
        </w:rPr>
        <w:t>16.完善就业实习实践制度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各地各高校要将就业实习实践作为促就业重要举措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纳入人才培养方案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做好政策制度保障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统筹就业实习与教学实习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社会实践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推动大学生利用寒暑假开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展实习实践活动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强化实习责任保险保障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做好就业实习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安全教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育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持续发挥教育部供需对接就业育人项目作用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深化政校企合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作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协同建设一批大学生就业实习实践基地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有组织地开展就业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实习实践活动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推动更多毕业生通过实习实践实现就业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鼓励支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持更多高校毕业生到国际组织实习任职</w:t>
      </w:r>
      <w:r>
        <w:rPr>
          <w:rFonts w:hint="eastAsia" w:ascii="仿宋_GB2312" w:hAnsi="仿宋_GB2312" w:eastAsia="仿宋_GB2312" w:cs="仿宋_GB2312"/>
          <w:color w:val="231F20"/>
          <w:spacing w:val="20"/>
          <w:position w:val="1"/>
        </w:rPr>
        <w:t>。</w:t>
      </w:r>
    </w:p>
    <w:p w14:paraId="083055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420" w:firstLineChars="200"/>
        <w:textAlignment w:val="baseline"/>
        <w:rPr>
          <w:rFonts w:hint="eastAsia" w:ascii="仿宋_GB2312" w:hAnsi="仿宋_GB2312" w:eastAsia="仿宋_GB2312" w:cs="仿宋_GB2312"/>
          <w:sz w:val="21"/>
          <w:lang w:eastAsia="zh-CN"/>
        </w:rPr>
      </w:pPr>
    </w:p>
    <w:p w14:paraId="3221A9A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2" w:firstLineChars="200"/>
        <w:textAlignment w:val="baseline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18"/>
        </w:rPr>
        <w:t>五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持续推进就业监测与综合评价改革</w:t>
      </w:r>
    </w:p>
    <w:p w14:paraId="6AE4053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8" w:firstLineChars="200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22"/>
        </w:rPr>
        <w:t>17.加强就业进展监测</w:t>
      </w:r>
      <w:r>
        <w:rPr>
          <w:rFonts w:hint="eastAsia" w:ascii="仿宋_GB2312" w:hAnsi="仿宋_GB2312" w:eastAsia="仿宋_GB2312" w:cs="仿宋_GB2312"/>
          <w:color w:val="231F20"/>
          <w:spacing w:val="22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22"/>
        </w:rPr>
        <w:t>各地各高校要认真落实毕业去向登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记制度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准确把握就业监测指标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严格审核毕业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生就业材料和去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向信息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规范做好毕业去向登记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确保数据真实准确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各地要不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断健全完善就业监测机制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加强就业监测工作业务培训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切实提</w:t>
      </w:r>
      <w:r>
        <w:rPr>
          <w:rFonts w:hint="eastAsia" w:ascii="仿宋_GB2312" w:hAnsi="仿宋_GB2312" w:eastAsia="仿宋_GB2312" w:cs="仿宋_GB2312"/>
          <w:color w:val="231F20"/>
          <w:spacing w:val="12"/>
        </w:rPr>
        <w:t>高就业监测工作质量</w:t>
      </w:r>
      <w:r>
        <w:rPr>
          <w:rFonts w:hint="eastAsia" w:ascii="仿宋_GB2312" w:hAnsi="仿宋_GB2312" w:eastAsia="仿宋_GB2312" w:cs="仿宋_GB2312"/>
          <w:color w:val="231F20"/>
          <w:spacing w:val="12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2"/>
        </w:rPr>
        <w:t>各地各高校要严格执行</w:t>
      </w:r>
      <w:r>
        <w:rPr>
          <w:rFonts w:hint="eastAsia" w:ascii="仿宋_GB2312" w:hAnsi="仿宋_GB2312" w:eastAsia="仿宋_GB2312" w:cs="仿宋_GB2312"/>
          <w:color w:val="231F20"/>
          <w:spacing w:val="12"/>
          <w:position w:val="1"/>
        </w:rPr>
        <w:t>“</w:t>
      </w:r>
      <w:r>
        <w:rPr>
          <w:rFonts w:hint="eastAsia" w:ascii="仿宋_GB2312" w:hAnsi="仿宋_GB2312" w:eastAsia="仿宋_GB2312" w:cs="仿宋_GB2312"/>
          <w:color w:val="231F20"/>
          <w:spacing w:val="12"/>
        </w:rPr>
        <w:t>四不准</w:t>
      </w:r>
      <w:r>
        <w:rPr>
          <w:rFonts w:hint="eastAsia" w:ascii="仿宋_GB2312" w:hAnsi="仿宋_GB2312" w:eastAsia="仿宋_GB2312" w:cs="仿宋_GB2312"/>
          <w:color w:val="231F20"/>
          <w:spacing w:val="12"/>
          <w:position w:val="1"/>
        </w:rPr>
        <w:t>”“</w:t>
      </w:r>
      <w:r>
        <w:rPr>
          <w:rFonts w:hint="eastAsia" w:ascii="仿宋_GB2312" w:hAnsi="仿宋_GB2312" w:eastAsia="仿宋_GB2312" w:cs="仿宋_GB2312"/>
          <w:color w:val="231F20"/>
          <w:spacing w:val="12"/>
        </w:rPr>
        <w:t>三不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得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”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规定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分级开展就业监测数据自查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对违反相关规定的单位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和人员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依法依规严肃追责处理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。</w:t>
      </w:r>
    </w:p>
    <w:p w14:paraId="31CA456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4" w:firstLineChars="200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21"/>
        </w:rPr>
        <w:t>18.深入推进就业评价改革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各地要探索开展就业工作综合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评价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建立健全科学高效的就业评价体系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破除就业工作单一评</w:t>
      </w:r>
      <w:r>
        <w:rPr>
          <w:rFonts w:hint="eastAsia" w:ascii="仿宋_GB2312" w:hAnsi="仿宋_GB2312" w:eastAsia="仿宋_GB2312" w:cs="仿宋_GB2312"/>
          <w:color w:val="231F20"/>
          <w:spacing w:val="10"/>
        </w:rPr>
        <w:t>价导向</w:t>
      </w:r>
      <w:r>
        <w:rPr>
          <w:rFonts w:hint="eastAsia" w:ascii="仿宋_GB2312" w:hAnsi="仿宋_GB2312" w:eastAsia="仿宋_GB2312" w:cs="仿宋_GB2312"/>
          <w:color w:val="231F20"/>
          <w:spacing w:val="10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0"/>
        </w:rPr>
        <w:t>坚持分类评价</w:t>
      </w:r>
      <w:r>
        <w:rPr>
          <w:rFonts w:hint="eastAsia" w:ascii="仿宋_GB2312" w:hAnsi="仿宋_GB2312" w:eastAsia="仿宋_GB2312" w:cs="仿宋_GB2312"/>
          <w:color w:val="231F20"/>
          <w:spacing w:val="10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0"/>
        </w:rPr>
        <w:t>突出质量导向</w:t>
      </w:r>
      <w:r>
        <w:rPr>
          <w:rFonts w:hint="eastAsia" w:ascii="仿宋_GB2312" w:hAnsi="仿宋_GB2312" w:eastAsia="仿宋_GB2312" w:cs="仿宋_GB2312"/>
          <w:color w:val="231F20"/>
          <w:spacing w:val="10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0"/>
        </w:rPr>
        <w:t>探索长</w:t>
      </w:r>
      <w:r>
        <w:rPr>
          <w:rFonts w:hint="eastAsia" w:ascii="仿宋_GB2312" w:hAnsi="仿宋_GB2312" w:eastAsia="仿宋_GB2312" w:cs="仿宋_GB2312"/>
          <w:color w:val="231F20"/>
          <w:spacing w:val="9"/>
        </w:rPr>
        <w:t>周期评价</w:t>
      </w:r>
      <w:r>
        <w:rPr>
          <w:rFonts w:hint="eastAsia" w:ascii="仿宋_GB2312" w:hAnsi="仿宋_GB2312" w:eastAsia="仿宋_GB2312" w:cs="仿宋_GB2312"/>
          <w:color w:val="231F20"/>
          <w:spacing w:val="9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9"/>
        </w:rPr>
        <w:t>以就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业评价赋能高校就业工作转型</w:t>
      </w:r>
      <w:r>
        <w:rPr>
          <w:rFonts w:hint="eastAsia" w:ascii="仿宋_GB2312" w:hAnsi="仿宋_GB2312" w:eastAsia="仿宋_GB2312" w:cs="仿宋_GB2312"/>
          <w:color w:val="231F20"/>
          <w:spacing w:val="20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促进高校就业工作制度化</w:t>
      </w:r>
      <w:r>
        <w:rPr>
          <w:rFonts w:hint="eastAsia" w:ascii="仿宋_GB2312" w:hAnsi="仿宋_GB2312" w:eastAsia="仿宋_GB2312" w:cs="仿宋_GB2312"/>
          <w:color w:val="231F20"/>
          <w:spacing w:val="20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规范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化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全面开展高校毕业生就业状况跟踪调查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加强与有关部门政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务数据比对分析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将就业状况纳入综合研判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为教育教学评估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就业工作质量评价提供参考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。</w:t>
      </w:r>
    </w:p>
    <w:p w14:paraId="2B6378C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2" w:firstLineChars="200"/>
        <w:textAlignment w:val="baseline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18"/>
        </w:rPr>
        <w:t>六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提升高校毕业生就业工作保障水平</w:t>
      </w:r>
    </w:p>
    <w:p w14:paraId="4F7FC81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8" w:firstLineChars="200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22"/>
        </w:rPr>
        <w:t>19.压实工作责任</w:t>
      </w:r>
      <w:r>
        <w:rPr>
          <w:rFonts w:hint="eastAsia" w:ascii="仿宋_GB2312" w:hAnsi="仿宋_GB2312" w:eastAsia="仿宋_GB2312" w:cs="仿宋_GB2312"/>
          <w:color w:val="231F20"/>
          <w:spacing w:val="22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22"/>
        </w:rPr>
        <w:t>各地各高校要把高校毕业生就业作为民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生头等大事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摆在突出重要位置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纳入领导班子重要议事日程和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绩效考核重要内容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建立健全主要负责同志亲自部署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亲自指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导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分管负责同志靠前指挥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统筹协调的工作机制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推动逐级压</w:t>
      </w:r>
      <w:r>
        <w:rPr>
          <w:rFonts w:hint="eastAsia" w:ascii="仿宋_GB2312" w:hAnsi="仿宋_GB2312" w:eastAsia="仿宋_GB2312" w:cs="仿宋_GB2312"/>
          <w:color w:val="231F20"/>
          <w:spacing w:val="22"/>
        </w:rPr>
        <w:t>实工作责任</w:t>
      </w:r>
      <w:r>
        <w:rPr>
          <w:rFonts w:hint="eastAsia" w:ascii="仿宋_GB2312" w:hAnsi="仿宋_GB2312" w:eastAsia="仿宋_GB2312" w:cs="仿宋_GB2312"/>
          <w:color w:val="231F20"/>
          <w:spacing w:val="22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22"/>
        </w:rPr>
        <w:t>各高校要把就业工作列入学校党委常委会重要议题</w:t>
      </w:r>
      <w:r>
        <w:rPr>
          <w:rFonts w:hint="eastAsia" w:ascii="仿宋_GB2312" w:hAnsi="仿宋_GB2312" w:eastAsia="仿宋_GB2312" w:cs="仿宋_GB2312"/>
          <w:color w:val="231F20"/>
          <w:spacing w:val="10"/>
        </w:rPr>
        <w:t>定期研究推进</w:t>
      </w:r>
      <w:r>
        <w:rPr>
          <w:rFonts w:hint="eastAsia" w:ascii="仿宋_GB2312" w:hAnsi="仿宋_GB2312" w:eastAsia="仿宋_GB2312" w:cs="仿宋_GB2312"/>
          <w:color w:val="231F20"/>
          <w:spacing w:val="10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0"/>
        </w:rPr>
        <w:t>充分发挥</w:t>
      </w:r>
      <w:r>
        <w:rPr>
          <w:rFonts w:hint="eastAsia" w:ascii="仿宋_GB2312" w:hAnsi="仿宋_GB2312" w:eastAsia="仿宋_GB2312" w:cs="仿宋_GB2312"/>
          <w:color w:val="231F20"/>
          <w:spacing w:val="10"/>
          <w:position w:val="1"/>
        </w:rPr>
        <w:t>“</w:t>
      </w:r>
      <w:r>
        <w:rPr>
          <w:rFonts w:hint="eastAsia" w:ascii="仿宋_GB2312" w:hAnsi="仿宋_GB2312" w:eastAsia="仿宋_GB2312" w:cs="仿宋_GB2312"/>
          <w:color w:val="231F20"/>
          <w:spacing w:val="10"/>
        </w:rPr>
        <w:t>校—院（系）</w:t>
      </w:r>
      <w:r>
        <w:rPr>
          <w:rFonts w:hint="eastAsia" w:ascii="仿宋_GB2312" w:hAnsi="仿宋_GB2312" w:eastAsia="仿宋_GB2312" w:cs="仿宋_GB2312"/>
          <w:color w:val="231F20"/>
          <w:spacing w:val="10"/>
          <w:position w:val="1"/>
        </w:rPr>
        <w:t>”</w:t>
      </w:r>
      <w:r>
        <w:rPr>
          <w:rFonts w:hint="eastAsia" w:ascii="仿宋_GB2312" w:hAnsi="仿宋_GB2312" w:eastAsia="仿宋_GB2312" w:cs="仿宋_GB2312"/>
          <w:color w:val="231F20"/>
          <w:spacing w:val="10"/>
        </w:rPr>
        <w:t>两级就业工作领导小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组作用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调动全校力量形成工作合力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各省级教育部门要牵头成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立高校毕业生就业工作专班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制定工作方案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推进任务落实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各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地各高校要加强与组织</w:t>
      </w:r>
      <w:r>
        <w:rPr>
          <w:rFonts w:hint="eastAsia" w:ascii="仿宋_GB2312" w:hAnsi="仿宋_GB2312" w:eastAsia="仿宋_GB2312" w:cs="仿宋_GB2312"/>
          <w:color w:val="231F20"/>
          <w:spacing w:val="20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人力资源社会保障</w:t>
      </w:r>
      <w:r>
        <w:rPr>
          <w:rFonts w:hint="eastAsia" w:ascii="仿宋_GB2312" w:hAnsi="仿宋_GB2312" w:eastAsia="仿宋_GB2312" w:cs="仿宋_GB2312"/>
          <w:color w:val="231F20"/>
          <w:spacing w:val="20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财政等部门沟通联</w:t>
      </w:r>
      <w:r>
        <w:rPr>
          <w:rFonts w:hint="eastAsia" w:ascii="仿宋_GB2312" w:hAnsi="仿宋_GB2312" w:eastAsia="仿宋_GB2312" w:cs="仿宋_GB2312"/>
          <w:color w:val="231F20"/>
          <w:spacing w:val="13"/>
        </w:rPr>
        <w:t>系</w:t>
      </w:r>
      <w:r>
        <w:rPr>
          <w:rFonts w:hint="eastAsia" w:ascii="仿宋_GB2312" w:hAnsi="仿宋_GB2312" w:eastAsia="仿宋_GB2312" w:cs="仿宋_GB2312"/>
          <w:color w:val="231F20"/>
          <w:spacing w:val="13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3"/>
        </w:rPr>
        <w:t>协调各方资源支持高校毕业生就业</w:t>
      </w:r>
      <w:r>
        <w:rPr>
          <w:rFonts w:hint="eastAsia" w:ascii="仿宋_GB2312" w:hAnsi="仿宋_GB2312" w:eastAsia="仿宋_GB2312" w:cs="仿宋_GB2312"/>
          <w:color w:val="231F20"/>
          <w:spacing w:val="13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3"/>
        </w:rPr>
        <w:t>强化风险防控</w:t>
      </w:r>
      <w:r>
        <w:rPr>
          <w:rFonts w:hint="eastAsia" w:ascii="仿宋_GB2312" w:hAnsi="仿宋_GB2312" w:eastAsia="仿宋_GB2312" w:cs="仿宋_GB2312"/>
          <w:color w:val="231F20"/>
          <w:spacing w:val="13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3"/>
        </w:rPr>
        <w:t>完善各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类突发事件应急处置工作预案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确保高校毕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业生就业安全稳定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。</w:t>
      </w:r>
    </w:p>
    <w:p w14:paraId="02D0550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8" w:firstLineChars="200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22"/>
        </w:rPr>
        <w:t>20.强化工作保障</w:t>
      </w:r>
      <w:r>
        <w:rPr>
          <w:rFonts w:hint="eastAsia" w:ascii="仿宋_GB2312" w:hAnsi="仿宋_GB2312" w:eastAsia="仿宋_GB2312" w:cs="仿宋_GB2312"/>
          <w:color w:val="231F20"/>
          <w:spacing w:val="22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22"/>
        </w:rPr>
        <w:t>各地各高校要按规定落实高校毕业生就</w:t>
      </w:r>
      <w:r>
        <w:rPr>
          <w:rFonts w:hint="eastAsia" w:ascii="仿宋_GB2312" w:hAnsi="仿宋_GB2312" w:eastAsia="仿宋_GB2312" w:cs="仿宋_GB2312"/>
          <w:color w:val="231F20"/>
          <w:spacing w:val="8"/>
        </w:rPr>
        <w:t>业工作</w:t>
      </w:r>
      <w:r>
        <w:rPr>
          <w:rFonts w:hint="eastAsia" w:ascii="仿宋_GB2312" w:hAnsi="仿宋_GB2312" w:eastAsia="仿宋_GB2312" w:cs="仿宋_GB2312"/>
          <w:color w:val="231F20"/>
          <w:spacing w:val="8"/>
          <w:position w:val="1"/>
        </w:rPr>
        <w:t>“</w:t>
      </w:r>
      <w:r>
        <w:rPr>
          <w:rFonts w:hint="eastAsia" w:ascii="仿宋_GB2312" w:hAnsi="仿宋_GB2312" w:eastAsia="仿宋_GB2312" w:cs="仿宋_GB2312"/>
          <w:color w:val="231F20"/>
          <w:spacing w:val="8"/>
        </w:rPr>
        <w:t>四到位</w:t>
      </w:r>
      <w:r>
        <w:rPr>
          <w:rFonts w:hint="eastAsia" w:ascii="仿宋_GB2312" w:hAnsi="仿宋_GB2312" w:eastAsia="仿宋_GB2312" w:cs="仿宋_GB2312"/>
          <w:color w:val="231F20"/>
          <w:spacing w:val="8"/>
          <w:position w:val="1"/>
        </w:rPr>
        <w:t>”</w:t>
      </w:r>
      <w:r>
        <w:rPr>
          <w:rFonts w:hint="eastAsia" w:ascii="仿宋_GB2312" w:hAnsi="仿宋_GB2312" w:eastAsia="仿宋_GB2312" w:cs="仿宋_GB2312"/>
          <w:color w:val="231F20"/>
          <w:spacing w:val="8"/>
        </w:rPr>
        <w:t>要求</w:t>
      </w:r>
      <w:r>
        <w:rPr>
          <w:rFonts w:hint="eastAsia" w:ascii="仿宋_GB2312" w:hAnsi="仿宋_GB2312" w:eastAsia="仿宋_GB2312" w:cs="仿宋_GB2312"/>
          <w:color w:val="231F20"/>
          <w:spacing w:val="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8"/>
        </w:rPr>
        <w:t>加强就业部门和服务机构工作力量</w:t>
      </w:r>
      <w:r>
        <w:rPr>
          <w:rFonts w:hint="eastAsia" w:ascii="仿宋_GB2312" w:hAnsi="仿宋_GB2312" w:eastAsia="仿宋_GB2312" w:cs="仿宋_GB2312"/>
          <w:color w:val="231F20"/>
          <w:spacing w:val="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8"/>
        </w:rPr>
        <w:t>给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予必要的人员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经费保障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配齐配强校级专职就业指导教师和专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职就业工作人员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畅通就业指导教师职业发展路径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鼓励生涯教</w:t>
      </w:r>
      <w:r>
        <w:rPr>
          <w:rFonts w:hint="eastAsia" w:ascii="仿宋_GB2312" w:hAnsi="仿宋_GB2312" w:eastAsia="仿宋_GB2312" w:cs="仿宋_GB2312"/>
          <w:color w:val="231F20"/>
          <w:spacing w:val="22"/>
        </w:rPr>
        <w:t>育与就业指导人员按要求参加相关职称评审</w:t>
      </w:r>
      <w:r>
        <w:rPr>
          <w:rFonts w:hint="eastAsia" w:ascii="仿宋_GB2312" w:hAnsi="仿宋_GB2312" w:eastAsia="仿宋_GB2312" w:cs="仿宋_GB2312"/>
          <w:color w:val="231F20"/>
          <w:spacing w:val="22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22"/>
        </w:rPr>
        <w:t>健全校外专家担任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兼职就业指导教师的保障机制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。</w:t>
      </w:r>
    </w:p>
    <w:p w14:paraId="739383E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4" w:firstLineChars="200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16"/>
        </w:rPr>
        <w:t>21.加强权益维护</w:t>
      </w:r>
      <w:r>
        <w:rPr>
          <w:rFonts w:hint="eastAsia" w:ascii="仿宋_GB2312" w:hAnsi="仿宋_GB2312" w:eastAsia="仿宋_GB2312" w:cs="仿宋_GB2312"/>
          <w:color w:val="231F20"/>
          <w:spacing w:val="16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6"/>
        </w:rPr>
        <w:t>各地各高校要严格落实校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园招聘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“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三严禁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”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要求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积极营造公平就业环境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配合有关部门维护人力资源</w:t>
      </w:r>
      <w:r>
        <w:rPr>
          <w:rFonts w:hint="eastAsia" w:ascii="仿宋_GB2312" w:hAnsi="仿宋_GB2312" w:eastAsia="仿宋_GB2312" w:cs="仿宋_GB2312"/>
          <w:color w:val="231F20"/>
          <w:spacing w:val="31"/>
        </w:rPr>
        <w:t>市场秩序</w:t>
      </w:r>
      <w:r>
        <w:rPr>
          <w:rFonts w:hint="eastAsia" w:ascii="仿宋_GB2312" w:hAnsi="仿宋_GB2312" w:eastAsia="仿宋_GB2312" w:cs="仿宋_GB2312"/>
          <w:color w:val="231F20"/>
          <w:spacing w:val="31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31"/>
        </w:rPr>
        <w:t>及时处置各类恶意解约等损害毕业生就</w:t>
      </w:r>
      <w:r>
        <w:rPr>
          <w:rFonts w:hint="eastAsia" w:ascii="仿宋_GB2312" w:hAnsi="仿宋_GB2312" w:eastAsia="仿宋_GB2312" w:cs="仿宋_GB2312"/>
          <w:color w:val="231F20"/>
          <w:spacing w:val="30"/>
        </w:rPr>
        <w:t>业权益的事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件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依法打击招聘欺诈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泄露隐私等涉就业违法违规行为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加强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就业安全教育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发布招聘求职陷阱提示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加大防电信诈骗宣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传</w:t>
      </w:r>
      <w:r>
        <w:rPr>
          <w:rFonts w:hint="eastAsia" w:ascii="仿宋_GB2312" w:hAnsi="仿宋_GB2312" w:eastAsia="仿宋_GB2312" w:cs="仿宋_GB2312"/>
          <w:color w:val="231F20"/>
          <w:spacing w:val="20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帮助毕业生提升防范就业风险意识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加大校园招聘审核力度</w:t>
      </w:r>
      <w:r>
        <w:rPr>
          <w:rFonts w:hint="eastAsia" w:ascii="仿宋_GB2312" w:hAnsi="仿宋_GB2312" w:eastAsia="仿宋_GB2312" w:cs="仿宋_GB2312"/>
          <w:color w:val="231F20"/>
          <w:spacing w:val="18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8"/>
        </w:rPr>
        <w:t>严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格规范招聘信息采集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7"/>
        </w:rPr>
        <w:t>及时清除各类虚假信息</w:t>
      </w:r>
      <w:r>
        <w:rPr>
          <w:rFonts w:hint="eastAsia" w:ascii="仿宋_GB2312" w:hAnsi="仿宋_GB2312" w:eastAsia="仿宋_GB2312" w:cs="仿宋_GB2312"/>
          <w:color w:val="231F20"/>
          <w:spacing w:val="17"/>
          <w:position w:val="1"/>
        </w:rPr>
        <w:t>。</w:t>
      </w:r>
    </w:p>
    <w:p w14:paraId="4DB31B4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6" w:firstLineChars="200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14"/>
        </w:rPr>
        <w:t>22.开展总结宣传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各地各高校要运用新闻媒体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微博微信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广播电视等渠道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开展形式多样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内容丰富的宣传活动</w:t>
      </w:r>
      <w:r>
        <w:rPr>
          <w:rFonts w:hint="eastAsia" w:ascii="仿宋_GB2312" w:hAnsi="仿宋_GB2312" w:eastAsia="仿宋_GB2312" w:cs="仿宋_GB2312"/>
          <w:color w:val="231F20"/>
          <w:spacing w:val="14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4"/>
        </w:rPr>
        <w:t>大力宣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传党和政府对毕业生的关心关爱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对就业工作的高度重视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加力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宣传地方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用人单位和高校全力拓资源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优指导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强帮扶</w:t>
      </w:r>
      <w:r>
        <w:rPr>
          <w:rFonts w:hint="eastAsia" w:ascii="仿宋_GB2312" w:hAnsi="仿宋_GB2312" w:eastAsia="仿宋_GB2312" w:cs="仿宋_GB2312"/>
          <w:color w:val="231F20"/>
          <w:spacing w:val="15"/>
          <w:position w:val="1"/>
        </w:rPr>
        <w:t>、</w:t>
      </w:r>
      <w:r>
        <w:rPr>
          <w:rFonts w:hint="eastAsia" w:ascii="仿宋_GB2312" w:hAnsi="仿宋_GB2312" w:eastAsia="仿宋_GB2312" w:cs="仿宋_GB2312"/>
          <w:color w:val="231F20"/>
          <w:spacing w:val="15"/>
        </w:rPr>
        <w:t>促就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业的举措和成效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持续开展就业典型案例和毕业生就业创业典型人物总结宣传</w:t>
      </w:r>
      <w:r>
        <w:rPr>
          <w:rFonts w:hint="eastAsia" w:ascii="仿宋_GB2312" w:hAnsi="仿宋_GB2312" w:eastAsia="仿宋_GB2312" w:cs="仿宋_GB2312"/>
          <w:color w:val="231F20"/>
          <w:spacing w:val="21"/>
          <w:position w:val="1"/>
        </w:rPr>
        <w:t>，</w:t>
      </w:r>
      <w:r>
        <w:rPr>
          <w:rFonts w:hint="eastAsia" w:ascii="仿宋_GB2312" w:hAnsi="仿宋_GB2312" w:eastAsia="仿宋_GB2312" w:cs="仿宋_GB2312"/>
          <w:color w:val="231F20"/>
          <w:spacing w:val="21"/>
        </w:rPr>
        <w:t>积极营造全社会关心支持高校毕业生就业的</w:t>
      </w:r>
      <w:r>
        <w:rPr>
          <w:rFonts w:hint="eastAsia" w:ascii="仿宋_GB2312" w:hAnsi="仿宋_GB2312" w:eastAsia="仿宋_GB2312" w:cs="仿宋_GB2312"/>
          <w:color w:val="231F20"/>
          <w:spacing w:val="20"/>
        </w:rPr>
        <w:t>良好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氛围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。</w:t>
      </w:r>
      <w:r>
        <w:rPr>
          <w:rFonts w:hint="eastAsia" w:ascii="仿宋_GB2312" w:hAnsi="仿宋_GB2312" w:eastAsia="仿宋_GB2312" w:cs="仿宋_GB2312"/>
          <w:color w:val="231F20"/>
          <w:spacing w:val="19"/>
        </w:rPr>
        <w:t>各地各高校毕业生就业工作进展情况要及时报教育部</w:t>
      </w:r>
      <w:r>
        <w:rPr>
          <w:rFonts w:hint="eastAsia" w:ascii="仿宋_GB2312" w:hAnsi="仿宋_GB2312" w:eastAsia="仿宋_GB2312" w:cs="仿宋_GB2312"/>
          <w:color w:val="231F20"/>
          <w:spacing w:val="19"/>
          <w:position w:val="1"/>
        </w:rPr>
        <w:t>。</w:t>
      </w:r>
    </w:p>
    <w:p w14:paraId="4E0EFC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420" w:firstLineChars="200"/>
        <w:textAlignment w:val="baseline"/>
        <w:rPr>
          <w:rFonts w:hint="eastAsia" w:ascii="仿宋_GB2312" w:hAnsi="仿宋_GB2312" w:eastAsia="仿宋_GB2312" w:cs="仿宋_GB2312"/>
          <w:sz w:val="21"/>
        </w:rPr>
      </w:pPr>
    </w:p>
    <w:p w14:paraId="2FE13F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420" w:firstLineChars="200"/>
        <w:textAlignment w:val="baseline"/>
        <w:rPr>
          <w:rFonts w:hint="eastAsia" w:ascii="仿宋_GB2312" w:hAnsi="仿宋_GB2312" w:eastAsia="仿宋_GB2312" w:cs="仿宋_GB2312"/>
          <w:sz w:val="21"/>
        </w:rPr>
      </w:pPr>
    </w:p>
    <w:p w14:paraId="001975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420" w:firstLineChars="200"/>
        <w:textAlignment w:val="baseline"/>
        <w:rPr>
          <w:rFonts w:hint="eastAsia" w:ascii="仿宋_GB2312" w:hAnsi="仿宋_GB2312" w:eastAsia="仿宋_GB2312" w:cs="仿宋_GB2312"/>
          <w:sz w:val="21"/>
        </w:rPr>
      </w:pPr>
    </w:p>
    <w:p w14:paraId="26FBA3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420" w:firstLineChars="200"/>
        <w:textAlignment w:val="baseline"/>
        <w:rPr>
          <w:rFonts w:hint="eastAsia" w:ascii="仿宋_GB2312" w:hAnsi="仿宋_GB2312" w:eastAsia="仿宋_GB2312" w:cs="仿宋_GB2312"/>
          <w:sz w:val="21"/>
        </w:rPr>
      </w:pPr>
    </w:p>
    <w:p w14:paraId="4E7C378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420" w:firstLineChars="200"/>
        <w:textAlignment w:val="baseline"/>
        <w:rPr>
          <w:rFonts w:hint="eastAsia" w:ascii="仿宋_GB2312" w:hAnsi="仿宋_GB2312" w:eastAsia="仿宋_GB2312" w:cs="仿宋_GB2312"/>
          <w:sz w:val="21"/>
        </w:rPr>
      </w:pPr>
    </w:p>
    <w:p w14:paraId="644B781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420" w:firstLineChars="200"/>
        <w:textAlignment w:val="baseline"/>
        <w:rPr>
          <w:rFonts w:hint="eastAsia" w:ascii="仿宋_GB2312" w:hAnsi="仿宋_GB2312" w:eastAsia="仿宋_GB2312" w:cs="仿宋_GB2312"/>
          <w:sz w:val="21"/>
        </w:rPr>
      </w:pPr>
    </w:p>
    <w:p w14:paraId="0DB1161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420" w:firstLineChars="200"/>
        <w:textAlignment w:val="baseline"/>
        <w:rPr>
          <w:rFonts w:hint="eastAsia" w:ascii="仿宋_GB2312" w:hAnsi="仿宋_GB2312" w:eastAsia="仿宋_GB2312" w:cs="仿宋_GB2312"/>
          <w:sz w:val="21"/>
        </w:rPr>
      </w:pPr>
    </w:p>
    <w:p w14:paraId="538F7C09"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68" w:firstLineChars="200"/>
        <w:jc w:val="right"/>
        <w:textAlignment w:val="baseline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31F20"/>
          <w:spacing w:val="-3"/>
        </w:rPr>
        <w:t>教育部</w:t>
      </w:r>
      <w:r>
        <w:rPr>
          <w:rFonts w:hint="eastAsia" w:ascii="仿宋_GB2312" w:hAnsi="仿宋_GB2312" w:eastAsia="仿宋_GB2312" w:cs="仿宋_GB2312"/>
          <w:color w:val="231F20"/>
          <w:spacing w:val="-3"/>
          <w:lang w:val="en-US" w:eastAsia="zh-CN"/>
        </w:rPr>
        <w:t xml:space="preserve">    </w:t>
      </w:r>
    </w:p>
    <w:p w14:paraId="23D1849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72" w:firstLineChars="200"/>
        <w:jc w:val="right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231F20"/>
          <w:spacing w:val="-2"/>
        </w:rPr>
        <w:t>2024年11月11日</w:t>
      </w:r>
    </w:p>
    <w:p w14:paraId="6C974E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420" w:firstLineChars="200"/>
        <w:textAlignment w:val="baseline"/>
        <w:rPr>
          <w:rFonts w:hint="eastAsia" w:ascii="仿宋_GB2312" w:hAnsi="仿宋_GB2312" w:eastAsia="仿宋_GB2312" w:cs="仿宋_GB2312"/>
          <w:sz w:val="21"/>
          <w:lang w:eastAsia="zh-CN"/>
        </w:rPr>
      </w:pPr>
    </w:p>
    <w:p w14:paraId="2C84A785">
      <w:pPr>
        <w:rPr>
          <w:rFonts w:hint="eastAsia" w:ascii="Arial" w:eastAsia="宋体"/>
          <w:sz w:val="21"/>
          <w:lang w:eastAsia="zh-CN"/>
        </w:rPr>
      </w:pPr>
    </w:p>
    <w:p w14:paraId="0B625964">
      <w:pPr>
        <w:rPr>
          <w:rFonts w:ascii="Arial"/>
          <w:sz w:val="21"/>
        </w:rPr>
      </w:pPr>
    </w:p>
    <w:p w14:paraId="6E55C266">
      <w:pPr>
        <w:rPr>
          <w:rFonts w:ascii="Arial"/>
          <w:sz w:val="21"/>
        </w:rPr>
      </w:pPr>
    </w:p>
    <w:p w14:paraId="005C87E1">
      <w:pPr>
        <w:rPr>
          <w:rFonts w:ascii="Arial"/>
          <w:sz w:val="21"/>
        </w:rPr>
      </w:pPr>
    </w:p>
    <w:p w14:paraId="298945FA">
      <w:pPr>
        <w:pStyle w:val="2"/>
        <w:spacing w:before="112" w:line="198" w:lineRule="auto"/>
        <w:ind w:left="213"/>
        <w:rPr>
          <w:sz w:val="26"/>
          <w:szCs w:val="26"/>
        </w:rPr>
      </w:pPr>
      <w:r>
        <w:rPr>
          <w:color w:val="231F20"/>
          <w:spacing w:val="8"/>
          <w:sz w:val="26"/>
          <w:szCs w:val="26"/>
        </w:rPr>
        <w:t>（此件主动公开）</w:t>
      </w:r>
    </w:p>
    <w:p w14:paraId="3443E55B">
      <w:pPr>
        <w:spacing w:line="47" w:lineRule="exact"/>
      </w:pPr>
    </w:p>
    <w:tbl>
      <w:tblPr>
        <w:tblStyle w:val="5"/>
        <w:tblW w:w="8844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4"/>
      </w:tblGrid>
      <w:tr w14:paraId="783600F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</w:trPr>
        <w:tc>
          <w:tcPr>
            <w:tcW w:w="8844" w:type="dxa"/>
            <w:tcBorders>
              <w:top w:val="single" w:color="231F20" w:sz="6" w:space="0"/>
              <w:bottom w:val="single" w:color="231F20" w:sz="2" w:space="0"/>
            </w:tcBorders>
            <w:vAlign w:val="top"/>
          </w:tcPr>
          <w:p w14:paraId="37AAEBC7">
            <w:pPr>
              <w:pStyle w:val="6"/>
              <w:spacing w:before="158" w:line="163" w:lineRule="auto"/>
              <w:ind w:left="1748" w:right="332" w:hanging="1425"/>
            </w:pPr>
            <w:r>
              <w:rPr>
                <w:color w:val="231F20"/>
                <w:spacing w:val="10"/>
              </w:rPr>
              <w:t>部内发送：有关部领导，办公厅、政法司、规划司、人事司、财务</w:t>
            </w:r>
            <w:r>
              <w:rPr>
                <w:color w:val="231F20"/>
                <w:spacing w:val="3"/>
              </w:rPr>
              <w:t>司、职成司、高教司、督导局、民族司、教师司、思政</w:t>
            </w:r>
            <w:r>
              <w:rPr>
                <w:color w:val="231F20"/>
                <w:spacing w:val="6"/>
              </w:rPr>
              <w:t>司、科信司、研究生司、资助中心、学生中心、中国教</w:t>
            </w:r>
            <w:r>
              <w:rPr>
                <w:color w:val="231F20"/>
                <w:spacing w:val="11"/>
              </w:rPr>
              <w:t>育发展基金会</w:t>
            </w:r>
          </w:p>
        </w:tc>
      </w:tr>
      <w:tr w14:paraId="5F426D1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8844" w:type="dxa"/>
            <w:tcBorders>
              <w:top w:val="single" w:color="231F20" w:sz="2" w:space="0"/>
              <w:bottom w:val="single" w:color="231F20" w:sz="6" w:space="0"/>
            </w:tcBorders>
            <w:vAlign w:val="top"/>
          </w:tcPr>
          <w:p w14:paraId="35A24D21">
            <w:pPr>
              <w:pStyle w:val="6"/>
              <w:spacing w:before="173" w:line="202" w:lineRule="auto"/>
              <w:ind w:left="320"/>
            </w:pPr>
            <w:r>
              <w:rPr>
                <w:color w:val="231F20"/>
                <w:spacing w:val="-1"/>
              </w:rPr>
              <w:t xml:space="preserve">教育部办公厅                                                </w:t>
            </w:r>
            <w:bookmarkStart w:id="0" w:name="_GoBack"/>
            <w:r>
              <w:rPr>
                <w:rFonts w:ascii="Times New Roman" w:hAnsi="Times New Roman" w:eastAsia="Times New Roman" w:cs="Times New Roman"/>
                <w:color w:val="231F20"/>
                <w:spacing w:val="-1"/>
              </w:rPr>
              <w:t>2024</w:t>
            </w:r>
            <w:r>
              <w:rPr>
                <w:color w:val="231F20"/>
                <w:spacing w:val="-1"/>
              </w:rPr>
              <w:t>年</w:t>
            </w:r>
            <w:r>
              <w:rPr>
                <w:rFonts w:ascii="Times New Roman" w:hAnsi="Times New Roman" w:eastAsia="Times New Roman" w:cs="Times New Roman"/>
                <w:color w:val="231F20"/>
                <w:spacing w:val="-1"/>
              </w:rPr>
              <w:t>11</w:t>
            </w:r>
            <w:r>
              <w:rPr>
                <w:color w:val="231F20"/>
                <w:spacing w:val="-1"/>
              </w:rPr>
              <w:t>月</w:t>
            </w:r>
            <w:r>
              <w:rPr>
                <w:rFonts w:ascii="Times New Roman" w:hAnsi="Times New Roman" w:eastAsia="Times New Roman" w:cs="Times New Roman"/>
                <w:color w:val="231F20"/>
                <w:spacing w:val="-1"/>
              </w:rPr>
              <w:t>12</w:t>
            </w:r>
            <w:r>
              <w:rPr>
                <w:color w:val="231F20"/>
                <w:spacing w:val="-1"/>
              </w:rPr>
              <w:t>日</w:t>
            </w:r>
            <w:r>
              <w:rPr>
                <w:color w:val="231F20"/>
                <w:spacing w:val="-2"/>
              </w:rPr>
              <w:t>印发</w:t>
            </w:r>
            <w:bookmarkEnd w:id="0"/>
          </w:p>
        </w:tc>
      </w:tr>
    </w:tbl>
    <w:p w14:paraId="60A82372">
      <w:pPr>
        <w:rPr>
          <w:rFonts w:ascii="Arial"/>
          <w:sz w:val="21"/>
        </w:rPr>
      </w:pPr>
    </w:p>
    <w:sectPr>
      <w:footerReference r:id="rId5" w:type="default"/>
      <w:pgSz w:w="11905" w:h="16836"/>
      <w:pgMar w:top="1417" w:right="1417" w:bottom="1417" w:left="1587" w:header="0" w:footer="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60CB5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FE35A61"/>
    <w:rsid w:val="18F51424"/>
    <w:rsid w:val="20195462"/>
    <w:rsid w:val="282B0A9A"/>
    <w:rsid w:val="3C683B38"/>
    <w:rsid w:val="4F1D6A04"/>
    <w:rsid w:val="538F3C48"/>
    <w:rsid w:val="5AEF2806"/>
    <w:rsid w:val="5E367223"/>
    <w:rsid w:val="5FD52022"/>
    <w:rsid w:val="67EB54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5002</Words>
  <Characters>5043</Characters>
  <TotalTime>4</TotalTime>
  <ScaleCrop>false</ScaleCrop>
  <LinksUpToDate>false</LinksUpToDate>
  <CharactersWithSpaces>6144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2024-12-12T01:04:00Z</dcterms:created>
  <dc:creator>Administrator</dc:creator>
  <cp:lastModifiedBy>哆啦A梦</cp:lastModifiedBy>
  <dcterms:modified xsi:type="dcterms:W3CDTF">2024-12-12T16:24:23Z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2024-12-12T08:34:41Z</vt:filetime>
  </property>
  <property fmtid="{D5CDD505-2E9C-101B-9397-08002B2CF9AE}" pid="4" name="KSOProductBuildVer">
    <vt:lpwstr>2052-12.1.0.19302</vt:lpwstr>
  </property>
  <property fmtid="{D5CDD505-2E9C-101B-9397-08002B2CF9AE}" pid="5" name="ICV">
    <vt:lpwstr>50AC0F085D99432487EE4FBADDDDF2FD_12</vt:lpwstr>
  </property>
</Properties>
</file>